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E909" w14:textId="77777777" w:rsidR="005A745D" w:rsidRPr="005A745D" w:rsidRDefault="005A745D" w:rsidP="005A745D">
      <w:pPr>
        <w:jc w:val="center"/>
        <w:rPr>
          <w:rFonts w:ascii="Verdana" w:hAnsi="Verdana" w:cs="Arial"/>
          <w:b/>
          <w:bCs/>
          <w:color w:val="808080"/>
          <w:sz w:val="22"/>
          <w:szCs w:val="22"/>
        </w:rPr>
      </w:pPr>
      <w:r w:rsidRPr="005A745D">
        <w:rPr>
          <w:rFonts w:ascii="Verdana" w:hAnsi="Verdana" w:cs="Arial"/>
          <w:b/>
          <w:bCs/>
          <w:color w:val="808080"/>
          <w:sz w:val="22"/>
          <w:szCs w:val="22"/>
        </w:rPr>
        <w:t>DIRECCIÓN DE INVESTIGACIÓN, INNOVACIÓN Y DESARROLLO</w:t>
      </w:r>
    </w:p>
    <w:p w14:paraId="574EFCE6" w14:textId="77777777" w:rsidR="005A745D" w:rsidRPr="005A745D" w:rsidRDefault="005A745D" w:rsidP="005A745D">
      <w:pPr>
        <w:jc w:val="center"/>
        <w:rPr>
          <w:rFonts w:ascii="Verdana" w:hAnsi="Verdana" w:cs="Arial"/>
          <w:b/>
          <w:bCs/>
          <w:color w:val="31849B"/>
          <w:sz w:val="22"/>
          <w:szCs w:val="22"/>
        </w:rPr>
      </w:pPr>
    </w:p>
    <w:p w14:paraId="0C48DC80" w14:textId="77777777" w:rsidR="005A745D" w:rsidRPr="005A745D" w:rsidRDefault="005A745D" w:rsidP="005A745D">
      <w:pPr>
        <w:jc w:val="center"/>
        <w:rPr>
          <w:rFonts w:ascii="Verdana" w:hAnsi="Verdana" w:cs="Arial"/>
          <w:b/>
          <w:bCs/>
          <w:color w:val="31849B"/>
          <w:sz w:val="22"/>
          <w:szCs w:val="22"/>
        </w:rPr>
      </w:pPr>
      <w:r w:rsidRPr="005A745D">
        <w:rPr>
          <w:rFonts w:ascii="Verdana" w:hAnsi="Verdana" w:cs="Arial"/>
          <w:b/>
          <w:bCs/>
          <w:color w:val="31849B"/>
          <w:sz w:val="22"/>
          <w:szCs w:val="22"/>
        </w:rPr>
        <w:t>DOCUMENTO TÉCNICO</w:t>
      </w:r>
    </w:p>
    <w:p w14:paraId="623FBEEA" w14:textId="77777777" w:rsidR="005A745D" w:rsidRDefault="005A745D" w:rsidP="005A745D">
      <w:pPr>
        <w:jc w:val="center"/>
        <w:rPr>
          <w:rFonts w:ascii="Verdana" w:hAnsi="Verdana" w:cs="Arial"/>
          <w:b/>
          <w:bCs/>
          <w:color w:val="31849B"/>
          <w:sz w:val="22"/>
          <w:szCs w:val="22"/>
        </w:rPr>
      </w:pPr>
    </w:p>
    <w:p w14:paraId="61F18C7A" w14:textId="77777777" w:rsidR="000909EB" w:rsidRDefault="000909EB" w:rsidP="005A745D">
      <w:pPr>
        <w:jc w:val="center"/>
        <w:rPr>
          <w:rFonts w:ascii="Verdana" w:hAnsi="Verdana" w:cs="Arial"/>
          <w:b/>
          <w:bCs/>
          <w:color w:val="31849B"/>
          <w:sz w:val="22"/>
          <w:szCs w:val="22"/>
        </w:rPr>
      </w:pPr>
    </w:p>
    <w:p w14:paraId="4393BB04" w14:textId="77777777" w:rsidR="000909EB" w:rsidRPr="005A745D" w:rsidRDefault="000909EB" w:rsidP="005A745D">
      <w:pPr>
        <w:jc w:val="center"/>
        <w:rPr>
          <w:rFonts w:ascii="Verdana" w:hAnsi="Verdana" w:cs="Arial"/>
          <w:b/>
          <w:bCs/>
          <w:color w:val="31849B"/>
          <w:sz w:val="22"/>
          <w:szCs w:val="22"/>
        </w:rPr>
      </w:pPr>
    </w:p>
    <w:p w14:paraId="428BFB7D" w14:textId="77777777" w:rsidR="005A745D" w:rsidRPr="005A745D" w:rsidRDefault="005A745D" w:rsidP="005A745D">
      <w:pPr>
        <w:jc w:val="center"/>
        <w:rPr>
          <w:rFonts w:ascii="Verdana" w:hAnsi="Verdana" w:cs="Arial"/>
          <w:b/>
          <w:bCs/>
          <w:color w:val="31849B"/>
          <w:sz w:val="22"/>
          <w:szCs w:val="22"/>
        </w:rPr>
      </w:pPr>
      <w:r w:rsidRPr="005A745D">
        <w:rPr>
          <w:rFonts w:ascii="Verdana" w:hAnsi="Verdana" w:cs="Arial"/>
          <w:b/>
          <w:bCs/>
          <w:color w:val="31849B"/>
          <w:sz w:val="22"/>
          <w:szCs w:val="22"/>
        </w:rPr>
        <w:t>METODOLOGÍA DE CÁLCULO DE LOS VECTORES NECESARIOS PARA LA DETERMINACIÓN DE LAS RESERVAS TÉCNICAS DE LAS COMPAÑÍAS DE SEGUROS</w:t>
      </w:r>
      <w:r w:rsidRPr="005A745D">
        <w:rPr>
          <w:rStyle w:val="Refdenotaalpie"/>
          <w:rFonts w:ascii="Verdana" w:hAnsi="Verdana" w:cs="Arial"/>
          <w:b/>
          <w:bCs/>
          <w:color w:val="31849B"/>
          <w:sz w:val="22"/>
          <w:szCs w:val="22"/>
        </w:rPr>
        <w:footnoteReference w:id="1"/>
      </w:r>
    </w:p>
    <w:p w14:paraId="0F3BB425" w14:textId="77777777" w:rsidR="005A745D" w:rsidRPr="005A745D" w:rsidRDefault="005A745D" w:rsidP="005A745D">
      <w:pPr>
        <w:jc w:val="both"/>
        <w:rPr>
          <w:rFonts w:ascii="Verdana" w:hAnsi="Verdana" w:cs="Arial"/>
          <w:b/>
          <w:bCs/>
          <w:color w:val="31849B"/>
          <w:sz w:val="22"/>
          <w:szCs w:val="22"/>
        </w:rPr>
      </w:pPr>
    </w:p>
    <w:p w14:paraId="007A98BB" w14:textId="77777777" w:rsidR="005A745D" w:rsidRPr="005A745D" w:rsidRDefault="005A745D" w:rsidP="005A745D">
      <w:pPr>
        <w:jc w:val="both"/>
        <w:rPr>
          <w:rFonts w:ascii="Verdana" w:hAnsi="Verdana" w:cs="Arial"/>
          <w:b/>
          <w:bCs/>
          <w:color w:val="31849B"/>
          <w:sz w:val="22"/>
          <w:szCs w:val="22"/>
        </w:rPr>
      </w:pPr>
    </w:p>
    <w:p w14:paraId="7A41F4A1" w14:textId="77777777" w:rsidR="005A745D" w:rsidRDefault="005A745D" w:rsidP="005A745D">
      <w:pPr>
        <w:jc w:val="both"/>
        <w:rPr>
          <w:rFonts w:ascii="Verdana" w:hAnsi="Verdana" w:cs="Arial"/>
          <w:b/>
          <w:bCs/>
          <w:color w:val="31849B"/>
          <w:sz w:val="22"/>
          <w:szCs w:val="22"/>
        </w:rPr>
      </w:pPr>
    </w:p>
    <w:p w14:paraId="21879754" w14:textId="77777777" w:rsidR="00647DA8" w:rsidRPr="005A745D" w:rsidRDefault="00647DA8" w:rsidP="005A745D">
      <w:pPr>
        <w:jc w:val="both"/>
        <w:rPr>
          <w:rFonts w:ascii="Verdana" w:hAnsi="Verdana" w:cs="Arial"/>
          <w:b/>
          <w:bCs/>
          <w:color w:val="31849B"/>
          <w:sz w:val="22"/>
          <w:szCs w:val="22"/>
        </w:rPr>
      </w:pPr>
    </w:p>
    <w:p w14:paraId="4F52B542" w14:textId="77777777" w:rsidR="005A745D" w:rsidRPr="005A745D" w:rsidRDefault="005A745D" w:rsidP="005A745D">
      <w:pPr>
        <w:jc w:val="both"/>
        <w:rPr>
          <w:rFonts w:ascii="Verdana" w:hAnsi="Verdana" w:cs="Arial"/>
          <w:b/>
          <w:bCs/>
          <w:color w:val="31849B"/>
          <w:sz w:val="22"/>
          <w:szCs w:val="22"/>
        </w:rPr>
      </w:pPr>
    </w:p>
    <w:p w14:paraId="3300723B" w14:textId="77777777" w:rsidR="005A745D" w:rsidRPr="005A745D" w:rsidRDefault="005A745D" w:rsidP="005A745D">
      <w:pPr>
        <w:jc w:val="both"/>
        <w:rPr>
          <w:rFonts w:ascii="Verdana" w:hAnsi="Verdana" w:cs="Arial"/>
          <w:bCs/>
          <w:sz w:val="22"/>
          <w:szCs w:val="22"/>
        </w:rPr>
      </w:pPr>
      <w:r w:rsidRPr="005A745D">
        <w:rPr>
          <w:rFonts w:ascii="Verdana" w:hAnsi="Verdana" w:cs="Arial"/>
          <w:b/>
          <w:bCs/>
          <w:sz w:val="22"/>
          <w:szCs w:val="22"/>
          <w:u w:val="single"/>
        </w:rPr>
        <w:t>Resumen:</w:t>
      </w:r>
      <w:r w:rsidRPr="005A745D">
        <w:rPr>
          <w:rFonts w:ascii="Verdana" w:hAnsi="Verdana" w:cs="Arial"/>
          <w:bCs/>
          <w:sz w:val="22"/>
          <w:szCs w:val="22"/>
        </w:rPr>
        <w:t xml:space="preserve"> Este documento presenta la metodología y los parámetros utilizados para el cálculo de los vectores de la curva de rendimiento libre de riesgo y el vector de inflaciones implícitas, necesarios para determinar las reservas técnicas de las compañías de seguros </w:t>
      </w:r>
      <w:bookmarkStart w:id="0" w:name="_Hlk192571342"/>
      <w:r w:rsidRPr="005A745D">
        <w:rPr>
          <w:rFonts w:ascii="Verdana" w:hAnsi="Verdana" w:cs="Arial"/>
          <w:bCs/>
          <w:sz w:val="22"/>
          <w:szCs w:val="22"/>
        </w:rPr>
        <w:t xml:space="preserve">en el marco de la implementación de la NIIF 17 </w:t>
      </w:r>
      <w:bookmarkEnd w:id="0"/>
      <w:r w:rsidRPr="005A745D">
        <w:rPr>
          <w:rFonts w:ascii="Verdana" w:hAnsi="Verdana" w:cs="Arial"/>
          <w:bCs/>
          <w:sz w:val="22"/>
          <w:szCs w:val="22"/>
        </w:rPr>
        <w:t>en Colombia.</w:t>
      </w:r>
    </w:p>
    <w:p w14:paraId="332AFF53" w14:textId="77777777" w:rsidR="005A745D" w:rsidRPr="005A745D" w:rsidRDefault="005A745D" w:rsidP="005A745D">
      <w:pPr>
        <w:jc w:val="both"/>
        <w:rPr>
          <w:rFonts w:ascii="Verdana" w:hAnsi="Verdana" w:cs="Arial"/>
          <w:bCs/>
          <w:sz w:val="22"/>
          <w:szCs w:val="22"/>
        </w:rPr>
      </w:pPr>
    </w:p>
    <w:p w14:paraId="1391EE58" w14:textId="77777777" w:rsidR="005A745D" w:rsidRPr="005A745D" w:rsidRDefault="005A745D" w:rsidP="005A745D">
      <w:pPr>
        <w:jc w:val="both"/>
        <w:rPr>
          <w:rFonts w:ascii="Verdana" w:hAnsi="Verdana" w:cs="Arial"/>
          <w:bCs/>
          <w:sz w:val="22"/>
          <w:szCs w:val="22"/>
        </w:rPr>
      </w:pPr>
    </w:p>
    <w:p w14:paraId="60715B9E" w14:textId="77777777" w:rsidR="005A745D" w:rsidRPr="005A745D" w:rsidRDefault="005A745D" w:rsidP="005A745D">
      <w:pPr>
        <w:jc w:val="both"/>
        <w:rPr>
          <w:rFonts w:ascii="Verdana" w:hAnsi="Verdana" w:cs="Arial"/>
          <w:bCs/>
          <w:sz w:val="22"/>
          <w:szCs w:val="22"/>
        </w:rPr>
      </w:pPr>
    </w:p>
    <w:p w14:paraId="77D49855" w14:textId="77777777" w:rsidR="005A745D" w:rsidRPr="005A745D" w:rsidRDefault="005A745D" w:rsidP="005A745D">
      <w:pPr>
        <w:jc w:val="both"/>
        <w:rPr>
          <w:rFonts w:ascii="Verdana" w:hAnsi="Verdana" w:cs="Arial"/>
          <w:bCs/>
          <w:sz w:val="22"/>
          <w:szCs w:val="22"/>
        </w:rPr>
      </w:pPr>
    </w:p>
    <w:p w14:paraId="31E4F036" w14:textId="77777777" w:rsidR="005A745D" w:rsidRPr="005A745D" w:rsidRDefault="005A745D" w:rsidP="005A745D">
      <w:pPr>
        <w:jc w:val="both"/>
        <w:rPr>
          <w:rFonts w:ascii="Verdana" w:hAnsi="Verdana" w:cs="Arial"/>
          <w:bCs/>
          <w:sz w:val="22"/>
          <w:szCs w:val="22"/>
        </w:rPr>
      </w:pPr>
    </w:p>
    <w:p w14:paraId="36E020DC" w14:textId="77777777" w:rsidR="005A745D" w:rsidRPr="005A745D" w:rsidRDefault="005A745D" w:rsidP="005A745D">
      <w:pPr>
        <w:jc w:val="both"/>
        <w:rPr>
          <w:rFonts w:ascii="Verdana" w:hAnsi="Verdana" w:cs="Arial"/>
          <w:bCs/>
          <w:sz w:val="22"/>
          <w:szCs w:val="22"/>
        </w:rPr>
      </w:pPr>
    </w:p>
    <w:p w14:paraId="4F595836" w14:textId="77777777" w:rsidR="005A745D" w:rsidRPr="005A745D" w:rsidRDefault="005A745D" w:rsidP="005A745D">
      <w:pPr>
        <w:jc w:val="both"/>
        <w:rPr>
          <w:rFonts w:ascii="Verdana" w:hAnsi="Verdana" w:cs="Arial"/>
          <w:bCs/>
          <w:sz w:val="22"/>
          <w:szCs w:val="22"/>
        </w:rPr>
      </w:pPr>
    </w:p>
    <w:p w14:paraId="3199E39D" w14:textId="77777777" w:rsidR="005A745D" w:rsidRPr="005A745D" w:rsidRDefault="005A745D" w:rsidP="005A745D">
      <w:pPr>
        <w:jc w:val="both"/>
        <w:rPr>
          <w:rFonts w:ascii="Verdana" w:hAnsi="Verdana" w:cs="Arial"/>
          <w:bCs/>
          <w:sz w:val="22"/>
          <w:szCs w:val="22"/>
        </w:rPr>
      </w:pPr>
    </w:p>
    <w:p w14:paraId="77BDC943" w14:textId="77777777" w:rsidR="005A745D" w:rsidRPr="005A745D" w:rsidRDefault="005A745D" w:rsidP="005A745D">
      <w:pPr>
        <w:jc w:val="both"/>
        <w:rPr>
          <w:rFonts w:ascii="Verdana" w:hAnsi="Verdana" w:cs="Arial"/>
          <w:bCs/>
          <w:sz w:val="22"/>
          <w:szCs w:val="22"/>
        </w:rPr>
      </w:pPr>
    </w:p>
    <w:p w14:paraId="46DEF744" w14:textId="77777777" w:rsidR="005A745D" w:rsidRDefault="005A745D" w:rsidP="005A745D">
      <w:pPr>
        <w:jc w:val="both"/>
        <w:rPr>
          <w:rFonts w:ascii="Verdana" w:hAnsi="Verdana" w:cs="Arial"/>
          <w:bCs/>
          <w:sz w:val="22"/>
          <w:szCs w:val="22"/>
        </w:rPr>
      </w:pPr>
    </w:p>
    <w:p w14:paraId="2DEBE223" w14:textId="77777777" w:rsidR="00647DA8" w:rsidRDefault="00647DA8" w:rsidP="005A745D">
      <w:pPr>
        <w:jc w:val="both"/>
        <w:rPr>
          <w:rFonts w:ascii="Verdana" w:hAnsi="Verdana" w:cs="Arial"/>
          <w:bCs/>
          <w:sz w:val="22"/>
          <w:szCs w:val="22"/>
        </w:rPr>
      </w:pPr>
    </w:p>
    <w:p w14:paraId="6F39E6F3" w14:textId="77777777" w:rsidR="00647DA8" w:rsidRDefault="00647DA8" w:rsidP="005A745D">
      <w:pPr>
        <w:jc w:val="both"/>
        <w:rPr>
          <w:rFonts w:ascii="Verdana" w:hAnsi="Verdana" w:cs="Arial"/>
          <w:bCs/>
          <w:sz w:val="22"/>
          <w:szCs w:val="22"/>
        </w:rPr>
      </w:pPr>
    </w:p>
    <w:p w14:paraId="7CFBB07B" w14:textId="77777777" w:rsidR="00647DA8" w:rsidRDefault="00647DA8" w:rsidP="005A745D">
      <w:pPr>
        <w:jc w:val="both"/>
        <w:rPr>
          <w:rFonts w:ascii="Verdana" w:hAnsi="Verdana" w:cs="Arial"/>
          <w:bCs/>
          <w:sz w:val="22"/>
          <w:szCs w:val="22"/>
        </w:rPr>
      </w:pPr>
    </w:p>
    <w:p w14:paraId="6358522D" w14:textId="77777777" w:rsidR="00647DA8" w:rsidRDefault="00647DA8" w:rsidP="005A745D">
      <w:pPr>
        <w:jc w:val="both"/>
        <w:rPr>
          <w:rFonts w:ascii="Verdana" w:hAnsi="Verdana" w:cs="Arial"/>
          <w:bCs/>
          <w:sz w:val="22"/>
          <w:szCs w:val="22"/>
        </w:rPr>
      </w:pPr>
    </w:p>
    <w:p w14:paraId="7A84A0F3" w14:textId="77777777" w:rsidR="00647DA8" w:rsidRDefault="00647DA8" w:rsidP="005A745D">
      <w:pPr>
        <w:jc w:val="both"/>
        <w:rPr>
          <w:rFonts w:ascii="Verdana" w:hAnsi="Verdana" w:cs="Arial"/>
          <w:bCs/>
          <w:sz w:val="22"/>
          <w:szCs w:val="22"/>
        </w:rPr>
      </w:pPr>
    </w:p>
    <w:p w14:paraId="6043C5E7" w14:textId="77777777" w:rsidR="00647DA8" w:rsidRPr="005A745D" w:rsidRDefault="00647DA8" w:rsidP="005A745D">
      <w:pPr>
        <w:jc w:val="both"/>
        <w:rPr>
          <w:rFonts w:ascii="Verdana" w:hAnsi="Verdana" w:cs="Arial"/>
          <w:bCs/>
          <w:sz w:val="22"/>
          <w:szCs w:val="22"/>
        </w:rPr>
      </w:pPr>
    </w:p>
    <w:p w14:paraId="11EF09AA" w14:textId="77777777" w:rsidR="005A745D" w:rsidRDefault="005A745D" w:rsidP="005A745D">
      <w:pPr>
        <w:jc w:val="both"/>
        <w:rPr>
          <w:rFonts w:ascii="Verdana" w:hAnsi="Verdana" w:cs="Arial"/>
          <w:bCs/>
          <w:sz w:val="22"/>
          <w:szCs w:val="22"/>
        </w:rPr>
      </w:pPr>
    </w:p>
    <w:p w14:paraId="74350FAF" w14:textId="77777777" w:rsidR="00DB687B" w:rsidRDefault="00DB687B" w:rsidP="005A745D">
      <w:pPr>
        <w:jc w:val="both"/>
        <w:rPr>
          <w:rFonts w:ascii="Verdana" w:hAnsi="Verdana" w:cs="Arial"/>
          <w:bCs/>
          <w:sz w:val="22"/>
          <w:szCs w:val="22"/>
        </w:rPr>
      </w:pPr>
    </w:p>
    <w:p w14:paraId="646B6DBF" w14:textId="77777777" w:rsidR="00DB687B" w:rsidRDefault="00DB687B" w:rsidP="005A745D">
      <w:pPr>
        <w:jc w:val="both"/>
        <w:rPr>
          <w:rFonts w:ascii="Verdana" w:hAnsi="Verdana" w:cs="Arial"/>
          <w:bCs/>
          <w:sz w:val="22"/>
          <w:szCs w:val="22"/>
        </w:rPr>
      </w:pPr>
    </w:p>
    <w:p w14:paraId="1F2147E3" w14:textId="77777777" w:rsidR="00DB687B" w:rsidRDefault="00DB687B" w:rsidP="005A745D">
      <w:pPr>
        <w:jc w:val="both"/>
        <w:rPr>
          <w:rFonts w:ascii="Verdana" w:hAnsi="Verdana" w:cs="Arial"/>
          <w:bCs/>
          <w:sz w:val="22"/>
          <w:szCs w:val="22"/>
        </w:rPr>
      </w:pPr>
    </w:p>
    <w:p w14:paraId="68043085" w14:textId="77777777" w:rsidR="00DB687B" w:rsidRPr="005A745D" w:rsidRDefault="00DB687B" w:rsidP="005A745D">
      <w:pPr>
        <w:jc w:val="both"/>
        <w:rPr>
          <w:rFonts w:ascii="Verdana" w:hAnsi="Verdana" w:cs="Arial"/>
          <w:bCs/>
          <w:sz w:val="22"/>
          <w:szCs w:val="22"/>
        </w:rPr>
      </w:pPr>
    </w:p>
    <w:p w14:paraId="2FFD3280" w14:textId="77777777" w:rsidR="005A745D" w:rsidRPr="005A745D" w:rsidRDefault="005A745D" w:rsidP="005A745D">
      <w:pPr>
        <w:pStyle w:val="Prrafodelista"/>
        <w:numPr>
          <w:ilvl w:val="0"/>
          <w:numId w:val="2"/>
        </w:numPr>
        <w:spacing w:line="278" w:lineRule="auto"/>
        <w:rPr>
          <w:rFonts w:ascii="Verdana" w:hAnsi="Verdana"/>
          <w:b/>
          <w:bCs/>
          <w:color w:val="1778BD"/>
        </w:rPr>
      </w:pPr>
      <w:r w:rsidRPr="005A745D">
        <w:rPr>
          <w:rFonts w:ascii="Verdana" w:hAnsi="Verdana"/>
          <w:b/>
          <w:bCs/>
          <w:color w:val="1778BD"/>
        </w:rPr>
        <w:lastRenderedPageBreak/>
        <w:t>Resumen Ejecutivo</w:t>
      </w:r>
    </w:p>
    <w:p w14:paraId="1F872501" w14:textId="47644202" w:rsidR="005A745D" w:rsidRPr="005A745D" w:rsidRDefault="005A745D" w:rsidP="005A745D">
      <w:pPr>
        <w:jc w:val="both"/>
        <w:rPr>
          <w:rFonts w:ascii="Verdana" w:hAnsi="Verdana"/>
          <w:sz w:val="22"/>
          <w:szCs w:val="22"/>
        </w:rPr>
      </w:pPr>
      <w:r w:rsidRPr="005A745D">
        <w:rPr>
          <w:rFonts w:ascii="Verdana" w:hAnsi="Verdana"/>
          <w:sz w:val="22"/>
          <w:szCs w:val="22"/>
        </w:rPr>
        <w:t xml:space="preserve">Este documento presenta los ejercicios que sustentan la definición de los parámetros utilizados para el cálculo de </w:t>
      </w:r>
      <w:r w:rsidRPr="005A745D">
        <w:rPr>
          <w:rFonts w:ascii="Verdana" w:hAnsi="Verdana" w:cs="Arial"/>
          <w:sz w:val="22"/>
          <w:szCs w:val="22"/>
        </w:rPr>
        <w:t>la Curva de Rendimiento Libre de Riesgo (CRLR)</w:t>
      </w:r>
      <w:r w:rsidRPr="005A745D">
        <w:rPr>
          <w:rFonts w:ascii="Verdana" w:hAnsi="Verdana"/>
          <w:sz w:val="22"/>
          <w:szCs w:val="22"/>
        </w:rPr>
        <w:t>, así como la metodología para el cálculo del vector de inflaciones implícitas</w:t>
      </w:r>
      <w:r w:rsidR="00C85678">
        <w:rPr>
          <w:rFonts w:ascii="Verdana" w:hAnsi="Verdana"/>
          <w:sz w:val="22"/>
          <w:szCs w:val="22"/>
        </w:rPr>
        <w:t>. Para este fin, se</w:t>
      </w:r>
      <w:r w:rsidRPr="005A745D">
        <w:rPr>
          <w:rFonts w:ascii="Verdana" w:hAnsi="Verdana"/>
          <w:sz w:val="22"/>
          <w:szCs w:val="22"/>
        </w:rPr>
        <w:t xml:space="preserve"> toma como referencia la metodología propuesta por la </w:t>
      </w:r>
      <w:r w:rsidRPr="005A745D">
        <w:rPr>
          <w:rFonts w:ascii="Verdana" w:hAnsi="Verdana"/>
          <w:i/>
          <w:iCs/>
          <w:sz w:val="22"/>
          <w:szCs w:val="22"/>
        </w:rPr>
        <w:t>European Insurance and Occupational Pensions Authority</w:t>
      </w:r>
      <w:r w:rsidRPr="005A745D">
        <w:rPr>
          <w:rFonts w:ascii="Verdana" w:hAnsi="Verdana"/>
          <w:sz w:val="22"/>
          <w:szCs w:val="22"/>
        </w:rPr>
        <w:t xml:space="preserve"> (EIOPA), debido a que proporciona estabilidad, comparabilidad y alineación regulatoria para una adecuada gestión de los pasivos de las compañías de seguros.</w:t>
      </w:r>
    </w:p>
    <w:p w14:paraId="1EA35C4D" w14:textId="77777777" w:rsidR="005A745D" w:rsidRPr="005A745D" w:rsidRDefault="005A745D" w:rsidP="005A745D">
      <w:pPr>
        <w:ind w:left="360"/>
        <w:jc w:val="both"/>
        <w:rPr>
          <w:rFonts w:ascii="Verdana" w:hAnsi="Verdana"/>
          <w:sz w:val="22"/>
          <w:szCs w:val="22"/>
        </w:rPr>
      </w:pPr>
    </w:p>
    <w:p w14:paraId="59E56475" w14:textId="49329D78" w:rsidR="00C85678" w:rsidRDefault="00C85678" w:rsidP="005A745D">
      <w:pPr>
        <w:jc w:val="both"/>
        <w:rPr>
          <w:rFonts w:ascii="Verdana" w:hAnsi="Verdana"/>
          <w:sz w:val="22"/>
          <w:szCs w:val="22"/>
          <w:lang w:val="es-CO"/>
        </w:rPr>
      </w:pPr>
      <w:r>
        <w:rPr>
          <w:rFonts w:ascii="Verdana" w:hAnsi="Verdana"/>
          <w:sz w:val="22"/>
          <w:szCs w:val="22"/>
          <w:lang w:val="es-CO"/>
        </w:rPr>
        <w:t>L</w:t>
      </w:r>
      <w:r w:rsidR="005A745D" w:rsidRPr="005A745D">
        <w:rPr>
          <w:rFonts w:ascii="Verdana" w:hAnsi="Verdana"/>
          <w:sz w:val="22"/>
          <w:szCs w:val="22"/>
          <w:lang w:val="es-CO"/>
        </w:rPr>
        <w:t>a Norma Internacional de Información Financiera 17 (NIIF 17), cuyo objetivo es que exista una mejor estimación de las obligaciones a cargo de las compañías de seguros, permite mantener un capital suficiente para cubrir sus obligaciones futuras de manera consistente y prudente.</w:t>
      </w:r>
      <w:r w:rsidR="00D56C46">
        <w:rPr>
          <w:rFonts w:ascii="Verdana" w:hAnsi="Verdana"/>
          <w:sz w:val="22"/>
          <w:szCs w:val="22"/>
          <w:lang w:val="es-CO"/>
        </w:rPr>
        <w:t xml:space="preserve"> </w:t>
      </w:r>
      <w:r>
        <w:rPr>
          <w:rFonts w:ascii="Verdana" w:hAnsi="Verdana"/>
          <w:sz w:val="22"/>
          <w:szCs w:val="22"/>
          <w:lang w:val="es-CO"/>
        </w:rPr>
        <w:t>E</w:t>
      </w:r>
      <w:r w:rsidR="005A745D" w:rsidRPr="005A745D">
        <w:rPr>
          <w:rFonts w:ascii="Verdana" w:hAnsi="Verdana"/>
          <w:sz w:val="22"/>
          <w:szCs w:val="22"/>
          <w:lang w:val="es-CO"/>
        </w:rPr>
        <w:t>l Decreto 1272 de 2024</w:t>
      </w:r>
      <w:r>
        <w:rPr>
          <w:rFonts w:ascii="Verdana" w:hAnsi="Verdana"/>
          <w:sz w:val="22"/>
          <w:szCs w:val="22"/>
          <w:lang w:val="es-CO"/>
        </w:rPr>
        <w:t>,</w:t>
      </w:r>
      <w:r w:rsidR="005A745D" w:rsidRPr="005A745D">
        <w:rPr>
          <w:rFonts w:ascii="Verdana" w:hAnsi="Verdana"/>
          <w:sz w:val="22"/>
          <w:szCs w:val="22"/>
          <w:lang w:val="es-CO"/>
        </w:rPr>
        <w:t xml:space="preserve"> que modifica el Decreto 2555 de 2010</w:t>
      </w:r>
      <w:r>
        <w:rPr>
          <w:rFonts w:ascii="Verdana" w:hAnsi="Verdana"/>
          <w:sz w:val="22"/>
          <w:szCs w:val="22"/>
          <w:lang w:val="es-CO"/>
        </w:rPr>
        <w:t xml:space="preserve">, en el </w:t>
      </w:r>
      <w:r w:rsidR="005A745D" w:rsidRPr="005A745D">
        <w:rPr>
          <w:rFonts w:ascii="Verdana" w:hAnsi="Verdana"/>
          <w:sz w:val="22"/>
          <w:szCs w:val="22"/>
          <w:lang w:val="es-CO"/>
        </w:rPr>
        <w:t xml:space="preserve">numeral 1.1 del artículo 2.31.4.1.4. otorgó a la Superintendencia Financiera de Colombia (SFC) la facultad de definir y calcular una curva de rendimiento libre de riesgo, tanto en moneda local como en Unidad de Valor Real (UVR). </w:t>
      </w:r>
      <w:r w:rsidRPr="005A745D">
        <w:rPr>
          <w:rFonts w:ascii="Verdana" w:hAnsi="Verdana"/>
          <w:sz w:val="22"/>
          <w:szCs w:val="22"/>
          <w:lang w:val="es-CO"/>
        </w:rPr>
        <w:t>En tal sentido, este documento describ</w:t>
      </w:r>
      <w:r>
        <w:rPr>
          <w:rFonts w:ascii="Verdana" w:hAnsi="Verdana"/>
          <w:sz w:val="22"/>
          <w:szCs w:val="22"/>
          <w:lang w:val="es-CO"/>
        </w:rPr>
        <w:t>e</w:t>
      </w:r>
      <w:r w:rsidRPr="005A745D">
        <w:rPr>
          <w:rFonts w:ascii="Verdana" w:hAnsi="Verdana"/>
          <w:sz w:val="22"/>
          <w:szCs w:val="22"/>
          <w:lang w:val="es-CO"/>
        </w:rPr>
        <w:t xml:space="preserve"> el análisis llevado a cabo </w:t>
      </w:r>
      <w:r>
        <w:rPr>
          <w:rFonts w:ascii="Verdana" w:hAnsi="Verdana"/>
          <w:sz w:val="22"/>
          <w:szCs w:val="22"/>
          <w:lang w:val="es-CO"/>
        </w:rPr>
        <w:t xml:space="preserve">para tal fin, </w:t>
      </w:r>
      <w:r w:rsidRPr="005A745D">
        <w:rPr>
          <w:rFonts w:ascii="Verdana" w:hAnsi="Verdana"/>
          <w:sz w:val="22"/>
          <w:szCs w:val="22"/>
          <w:lang w:val="es-CO"/>
        </w:rPr>
        <w:t xml:space="preserve">dentro del marco regulatorio </w:t>
      </w:r>
      <w:r>
        <w:rPr>
          <w:rFonts w:ascii="Verdana" w:hAnsi="Verdana"/>
          <w:sz w:val="22"/>
          <w:szCs w:val="22"/>
          <w:lang w:val="es-CO"/>
        </w:rPr>
        <w:t>señalado.</w:t>
      </w:r>
    </w:p>
    <w:p w14:paraId="59CA6B35" w14:textId="77777777" w:rsidR="005A745D" w:rsidRPr="005A745D" w:rsidRDefault="005A745D" w:rsidP="005A745D">
      <w:pPr>
        <w:jc w:val="both"/>
        <w:rPr>
          <w:rFonts w:ascii="Verdana" w:hAnsi="Verdana"/>
          <w:sz w:val="22"/>
          <w:szCs w:val="22"/>
          <w:lang w:val="es-CO"/>
        </w:rPr>
      </w:pPr>
    </w:p>
    <w:p w14:paraId="457FA932" w14:textId="35A7ABDC" w:rsidR="005A745D" w:rsidRPr="00B620A9" w:rsidRDefault="00C85678" w:rsidP="005A745D">
      <w:pPr>
        <w:jc w:val="both"/>
        <w:rPr>
          <w:rFonts w:ascii="Verdana" w:hAnsi="Verdana"/>
          <w:sz w:val="22"/>
          <w:szCs w:val="22"/>
          <w:lang w:val="es-CO"/>
        </w:rPr>
      </w:pPr>
      <w:r>
        <w:rPr>
          <w:rFonts w:ascii="Verdana" w:hAnsi="Verdana"/>
          <w:sz w:val="22"/>
          <w:szCs w:val="22"/>
        </w:rPr>
        <w:t>E</w:t>
      </w:r>
      <w:r w:rsidR="005A745D" w:rsidRPr="005A745D">
        <w:rPr>
          <w:rFonts w:ascii="Verdana" w:hAnsi="Verdana"/>
          <w:sz w:val="22"/>
          <w:szCs w:val="22"/>
        </w:rPr>
        <w:t xml:space="preserve">s importante precisar que </w:t>
      </w:r>
      <w:r w:rsidR="005A745D" w:rsidRPr="005A745D">
        <w:rPr>
          <w:rFonts w:ascii="Verdana" w:hAnsi="Verdana" w:cs="Arial"/>
          <w:bCs/>
          <w:sz w:val="22"/>
          <w:szCs w:val="22"/>
        </w:rPr>
        <w:t>la CRLR</w:t>
      </w:r>
      <w:r w:rsidR="005A745D" w:rsidRPr="005A745D">
        <w:rPr>
          <w:rFonts w:ascii="Verdana" w:hAnsi="Verdana"/>
          <w:sz w:val="22"/>
          <w:szCs w:val="22"/>
        </w:rPr>
        <w:t xml:space="preserve"> representa la rentabilidad asociada a la inversión en un activo exento de riesgo, es decir, es la tasa que se espera recibir, dependiendo del plazo, al invertir en un activo sin riesgo de incumplimiento (EIOPA, 2023).</w:t>
      </w:r>
      <w:r w:rsidRPr="00C85678">
        <w:rPr>
          <w:rFonts w:ascii="Verdana" w:hAnsi="Verdana"/>
          <w:sz w:val="22"/>
          <w:szCs w:val="22"/>
          <w:lang w:val="es-CO"/>
        </w:rPr>
        <w:t xml:space="preserve"> </w:t>
      </w:r>
      <w:r>
        <w:rPr>
          <w:rFonts w:ascii="Verdana" w:hAnsi="Verdana"/>
          <w:sz w:val="22"/>
          <w:szCs w:val="22"/>
          <w:lang w:val="es-CO"/>
        </w:rPr>
        <w:t>Para tal fin,</w:t>
      </w:r>
      <w:r w:rsidRPr="005A745D">
        <w:rPr>
          <w:rFonts w:ascii="Verdana" w:hAnsi="Verdana"/>
          <w:sz w:val="22"/>
          <w:szCs w:val="22"/>
          <w:lang w:val="es-CO"/>
        </w:rPr>
        <w:t xml:space="preserve"> el decreto señaló que para efectos del cálculo se deben tener en cuenta como mínimo los siguientes parámetros: instrumentos utilizados para la base del cálculo, último punto líquido, método de interpolación y extrapolación, tasa límite de convergencia del mercado, periodo de convergencia y plazo máximo. </w:t>
      </w:r>
    </w:p>
    <w:p w14:paraId="3BBD5687" w14:textId="1E7FF4E3" w:rsidR="00A7173B" w:rsidRDefault="00A7173B" w:rsidP="005A745D">
      <w:pPr>
        <w:jc w:val="both"/>
        <w:rPr>
          <w:rFonts w:ascii="Verdana" w:hAnsi="Verdana"/>
          <w:sz w:val="22"/>
          <w:szCs w:val="22"/>
        </w:rPr>
      </w:pPr>
    </w:p>
    <w:p w14:paraId="5C3FDB07" w14:textId="39515987" w:rsidR="005A745D" w:rsidRPr="005A745D" w:rsidRDefault="005A745D" w:rsidP="005A745D">
      <w:pPr>
        <w:jc w:val="both"/>
        <w:rPr>
          <w:rFonts w:ascii="Verdana" w:hAnsi="Verdana"/>
          <w:sz w:val="22"/>
          <w:szCs w:val="22"/>
        </w:rPr>
      </w:pPr>
      <w:r w:rsidRPr="005A745D">
        <w:rPr>
          <w:rFonts w:ascii="Verdana" w:hAnsi="Verdana"/>
          <w:sz w:val="22"/>
          <w:szCs w:val="22"/>
        </w:rPr>
        <w:t xml:space="preserve">La metodología considera un </w:t>
      </w:r>
      <w:r w:rsidRPr="00B620A9">
        <w:rPr>
          <w:rFonts w:ascii="Verdana" w:hAnsi="Verdana"/>
          <w:i/>
          <w:iCs/>
          <w:sz w:val="22"/>
          <w:szCs w:val="22"/>
        </w:rPr>
        <w:t>Último Punto Líquido</w:t>
      </w:r>
      <w:r w:rsidRPr="005A745D">
        <w:rPr>
          <w:rFonts w:ascii="Verdana" w:hAnsi="Verdana"/>
          <w:sz w:val="22"/>
          <w:szCs w:val="22"/>
        </w:rPr>
        <w:t xml:space="preserve"> (UPL), definido como el plazo al vencimiento del TES UVR y del TES en pesos de mayor plazo disponible en el mercado doméstico. Para aquellos vencimientos para los que el mercado colombiano no cuenta con títulos líquidos, se utilizaron técnicas de interpolación y extrapolación en función de la estructura de tasas en plazos líquidos.</w:t>
      </w:r>
    </w:p>
    <w:p w14:paraId="18C28BA3" w14:textId="77777777" w:rsidR="005A745D" w:rsidRPr="005A745D" w:rsidRDefault="005A745D" w:rsidP="005A745D">
      <w:pPr>
        <w:jc w:val="both"/>
        <w:rPr>
          <w:rFonts w:ascii="Verdana" w:hAnsi="Verdana"/>
          <w:sz w:val="22"/>
          <w:szCs w:val="22"/>
        </w:rPr>
      </w:pPr>
    </w:p>
    <w:p w14:paraId="7A73BBDC" w14:textId="3F176CA8" w:rsidR="005A745D" w:rsidRPr="005A745D" w:rsidRDefault="005A745D" w:rsidP="005A745D">
      <w:pPr>
        <w:jc w:val="both"/>
        <w:rPr>
          <w:rFonts w:ascii="Verdana" w:hAnsi="Verdana"/>
          <w:sz w:val="22"/>
          <w:szCs w:val="22"/>
        </w:rPr>
      </w:pPr>
      <w:r w:rsidRPr="005A745D">
        <w:rPr>
          <w:rFonts w:ascii="Verdana" w:hAnsi="Verdana"/>
          <w:sz w:val="22"/>
          <w:szCs w:val="22"/>
        </w:rPr>
        <w:t xml:space="preserve">Ahora bien, para poder establecer las tasas de largo plazo, se extrapolaron la curva UVR y la de </w:t>
      </w:r>
      <w:r w:rsidR="00A7173B">
        <w:rPr>
          <w:rFonts w:ascii="Verdana" w:hAnsi="Verdana"/>
          <w:sz w:val="22"/>
          <w:szCs w:val="22"/>
        </w:rPr>
        <w:t>p</w:t>
      </w:r>
      <w:r w:rsidRPr="005A745D">
        <w:rPr>
          <w:rFonts w:ascii="Verdana" w:hAnsi="Verdana"/>
          <w:sz w:val="22"/>
          <w:szCs w:val="22"/>
        </w:rPr>
        <w:t xml:space="preserve">esos para los plazos superiores al UPL mediante el método de Smith - Wilson con una tasa forward de largo plazo de 5,7% para la moneda local y de 2,7% para UVR, asumiendo una convergencia de 66 y 65 años, respectivamente. </w:t>
      </w:r>
    </w:p>
    <w:p w14:paraId="44FAEA59" w14:textId="77777777" w:rsidR="005A745D" w:rsidRPr="005A745D" w:rsidRDefault="005A745D" w:rsidP="005A745D">
      <w:pPr>
        <w:jc w:val="both"/>
        <w:rPr>
          <w:rFonts w:ascii="Verdana" w:hAnsi="Verdana"/>
          <w:sz w:val="22"/>
          <w:szCs w:val="22"/>
        </w:rPr>
      </w:pPr>
    </w:p>
    <w:p w14:paraId="68FD22E2" w14:textId="7ADDAD29" w:rsidR="005A745D" w:rsidRPr="005A745D" w:rsidRDefault="005A745D" w:rsidP="005A745D">
      <w:pPr>
        <w:jc w:val="both"/>
        <w:rPr>
          <w:rFonts w:ascii="Verdana" w:hAnsi="Verdana"/>
          <w:sz w:val="22"/>
          <w:szCs w:val="22"/>
        </w:rPr>
      </w:pPr>
      <w:r w:rsidRPr="005A745D">
        <w:rPr>
          <w:rFonts w:ascii="Verdana" w:hAnsi="Verdana"/>
          <w:sz w:val="22"/>
          <w:szCs w:val="22"/>
        </w:rPr>
        <w:t xml:space="preserve">Asimismo, </w:t>
      </w:r>
      <w:r w:rsidR="00A7173B">
        <w:rPr>
          <w:rFonts w:ascii="Verdana" w:hAnsi="Verdana"/>
          <w:sz w:val="22"/>
          <w:szCs w:val="22"/>
        </w:rPr>
        <w:t xml:space="preserve">se calculó </w:t>
      </w:r>
      <w:r w:rsidRPr="005A745D">
        <w:rPr>
          <w:rFonts w:ascii="Verdana" w:hAnsi="Verdana"/>
          <w:sz w:val="22"/>
          <w:szCs w:val="22"/>
        </w:rPr>
        <w:t xml:space="preserve">el vector de inflaciones implícitas, como la diferencia entre las curvas cero cupón de deuda pública en pesos y en UVR para los plazos </w:t>
      </w:r>
      <w:r w:rsidRPr="005A745D">
        <w:rPr>
          <w:rFonts w:ascii="Verdana" w:hAnsi="Verdana"/>
          <w:sz w:val="22"/>
          <w:szCs w:val="22"/>
        </w:rPr>
        <w:lastRenderedPageBreak/>
        <w:t xml:space="preserve">líquidos, y a partir del UPL se consideró una inflación del 3%, consistente con las expectativas del </w:t>
      </w:r>
      <w:r w:rsidR="00A7173B">
        <w:rPr>
          <w:rFonts w:ascii="Verdana" w:hAnsi="Verdana"/>
          <w:sz w:val="22"/>
          <w:szCs w:val="22"/>
        </w:rPr>
        <w:t>Banco de la República</w:t>
      </w:r>
      <w:r w:rsidRPr="005A745D">
        <w:rPr>
          <w:rFonts w:ascii="Verdana" w:hAnsi="Verdana"/>
          <w:sz w:val="22"/>
          <w:szCs w:val="22"/>
        </w:rPr>
        <w:t>.</w:t>
      </w:r>
    </w:p>
    <w:p w14:paraId="52302E0A" w14:textId="77777777" w:rsidR="005A745D" w:rsidRPr="005A745D" w:rsidRDefault="005A745D" w:rsidP="005A745D">
      <w:pPr>
        <w:jc w:val="both"/>
        <w:rPr>
          <w:rFonts w:ascii="Verdana" w:hAnsi="Verdana"/>
          <w:sz w:val="22"/>
          <w:szCs w:val="22"/>
        </w:rPr>
      </w:pPr>
    </w:p>
    <w:p w14:paraId="1D630BBA" w14:textId="1E158D8B" w:rsidR="005A745D" w:rsidRPr="005A745D" w:rsidRDefault="005A745D" w:rsidP="005A745D">
      <w:pPr>
        <w:jc w:val="both"/>
        <w:rPr>
          <w:rFonts w:ascii="Verdana" w:hAnsi="Verdana"/>
          <w:sz w:val="22"/>
          <w:szCs w:val="22"/>
        </w:rPr>
      </w:pPr>
      <w:r w:rsidRPr="005A745D">
        <w:rPr>
          <w:rFonts w:ascii="Verdana" w:hAnsi="Verdana"/>
          <w:sz w:val="22"/>
          <w:szCs w:val="22"/>
        </w:rPr>
        <w:t xml:space="preserve">Es importante destacar que una vez entre en vigencia la normatividad asociada a la NIIF 17, los vectores de </w:t>
      </w:r>
      <w:r w:rsidRPr="005A745D">
        <w:rPr>
          <w:rFonts w:ascii="Verdana" w:hAnsi="Verdana" w:cs="Arial"/>
          <w:bCs/>
          <w:sz w:val="22"/>
          <w:szCs w:val="22"/>
        </w:rPr>
        <w:t>CRLR</w:t>
      </w:r>
      <w:r w:rsidRPr="005A745D">
        <w:rPr>
          <w:rFonts w:ascii="Verdana" w:hAnsi="Verdana"/>
          <w:sz w:val="22"/>
          <w:szCs w:val="22"/>
        </w:rPr>
        <w:t xml:space="preserve"> y el vector de inflaciones implícitas, serán publicados mensualmente por parte de la SFC, los cuales serán calculados a partir de promedios móviles, en ventanas anuales, </w:t>
      </w:r>
      <w:r w:rsidRPr="00487CEE">
        <w:rPr>
          <w:rFonts w:ascii="Verdana" w:hAnsi="Verdana"/>
          <w:sz w:val="22"/>
          <w:szCs w:val="22"/>
        </w:rPr>
        <w:t>de los datos diarios de los proveedores de precios ponderado</w:t>
      </w:r>
      <w:r w:rsidR="00A7173B" w:rsidRPr="00487CEE">
        <w:rPr>
          <w:rFonts w:ascii="Verdana" w:hAnsi="Verdana"/>
          <w:sz w:val="22"/>
          <w:szCs w:val="22"/>
        </w:rPr>
        <w:t>s</w:t>
      </w:r>
      <w:r w:rsidRPr="00487CEE">
        <w:rPr>
          <w:rFonts w:ascii="Verdana" w:hAnsi="Verdana"/>
          <w:sz w:val="22"/>
          <w:szCs w:val="22"/>
        </w:rPr>
        <w:t xml:space="preserve"> como se observa en la tabla 3.</w:t>
      </w:r>
      <w:r w:rsidRPr="005A745D">
        <w:rPr>
          <w:rFonts w:ascii="Verdana" w:hAnsi="Verdana"/>
          <w:sz w:val="22"/>
          <w:szCs w:val="22"/>
        </w:rPr>
        <w:t xml:space="preserve"> </w:t>
      </w:r>
    </w:p>
    <w:p w14:paraId="7BC5AD18" w14:textId="77777777" w:rsidR="005A745D" w:rsidRPr="005A745D" w:rsidRDefault="005A745D" w:rsidP="005A745D">
      <w:pPr>
        <w:rPr>
          <w:rFonts w:ascii="Verdana" w:hAnsi="Verdana"/>
          <w:b/>
          <w:bCs/>
          <w:color w:val="1778BD"/>
          <w:sz w:val="22"/>
          <w:szCs w:val="22"/>
        </w:rPr>
      </w:pPr>
    </w:p>
    <w:p w14:paraId="698E5958" w14:textId="77777777" w:rsidR="005A745D" w:rsidRPr="005A745D" w:rsidRDefault="005A745D" w:rsidP="005A745D">
      <w:pPr>
        <w:pStyle w:val="Prrafodelista"/>
        <w:numPr>
          <w:ilvl w:val="0"/>
          <w:numId w:val="2"/>
        </w:numPr>
        <w:spacing w:line="278" w:lineRule="auto"/>
        <w:rPr>
          <w:rFonts w:ascii="Verdana" w:hAnsi="Verdana"/>
          <w:b/>
          <w:bCs/>
          <w:color w:val="1778BD"/>
        </w:rPr>
      </w:pPr>
      <w:r w:rsidRPr="005A745D">
        <w:rPr>
          <w:rFonts w:ascii="Verdana" w:hAnsi="Verdana"/>
          <w:b/>
          <w:bCs/>
          <w:color w:val="1778BD"/>
        </w:rPr>
        <w:t>Introducción</w:t>
      </w:r>
    </w:p>
    <w:p w14:paraId="150666E7"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Dentro de la literatura relacionada con la definición de los parámetros de tasas de descuento de las reservas técnicas de las entidades aseguradoras se destacan los documentos publicados por EIOPA en el marco de la Directiva 2009/138/EC (Solvencia II). En este sentido, este documento plantea los componentes claves necesarios para definir las estructuras a plazo de las tasas libres de riesgo, así como la extrapolación de las tasas de interés en el largo plazo. </w:t>
      </w:r>
    </w:p>
    <w:p w14:paraId="31A66EE8" w14:textId="77777777" w:rsidR="005A745D" w:rsidRPr="005A745D" w:rsidRDefault="005A745D" w:rsidP="005A745D">
      <w:pPr>
        <w:jc w:val="both"/>
        <w:rPr>
          <w:rFonts w:ascii="Verdana" w:hAnsi="Verdana"/>
          <w:sz w:val="22"/>
          <w:szCs w:val="22"/>
        </w:rPr>
      </w:pPr>
    </w:p>
    <w:p w14:paraId="58F97C97"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En Colombia, el proceso de convergencia hacia las NIIF se ha desarrollado en el marco de la Ley 1314 de 2009. Este marco legal ha permitido avances y competitividad para las empresas que aplican normas financieras, logrando así tener estados financieros con mayor nivel de comparabilidad y transparencia. Bajo este contexto, los parámetros seleccionados para la estimación de la </w:t>
      </w:r>
      <w:r w:rsidRPr="005A745D">
        <w:rPr>
          <w:rFonts w:ascii="Verdana" w:hAnsi="Verdana" w:cs="Arial"/>
          <w:bCs/>
          <w:sz w:val="22"/>
          <w:szCs w:val="22"/>
        </w:rPr>
        <w:t>CRLR</w:t>
      </w:r>
      <w:r w:rsidRPr="005A745D">
        <w:rPr>
          <w:rFonts w:ascii="Verdana" w:hAnsi="Verdana"/>
          <w:sz w:val="22"/>
          <w:szCs w:val="22"/>
        </w:rPr>
        <w:t xml:space="preserve"> se presentan en la tabla 1 y cada uno de los componentes se detallan a lo largo del documento.</w:t>
      </w:r>
    </w:p>
    <w:p w14:paraId="762DA38A" w14:textId="77777777" w:rsidR="005A745D" w:rsidRPr="005A745D" w:rsidRDefault="005A745D" w:rsidP="005A745D">
      <w:pPr>
        <w:rPr>
          <w:rFonts w:ascii="Verdana" w:hAnsi="Verdana"/>
          <w:sz w:val="22"/>
          <w:szCs w:val="22"/>
        </w:rPr>
      </w:pPr>
    </w:p>
    <w:p w14:paraId="4FE7DA8B" w14:textId="77777777" w:rsidR="005A745D" w:rsidRPr="005A745D" w:rsidRDefault="005A745D" w:rsidP="005A745D">
      <w:pPr>
        <w:pStyle w:val="Descripcin"/>
        <w:keepNext/>
        <w:spacing w:after="0"/>
        <w:jc w:val="center"/>
        <w:rPr>
          <w:rFonts w:ascii="Verdana" w:hAnsi="Verdana"/>
          <w:b/>
          <w:bCs/>
          <w:i w:val="0"/>
          <w:iCs w:val="0"/>
          <w:color w:val="auto"/>
          <w:sz w:val="22"/>
          <w:szCs w:val="22"/>
        </w:rPr>
      </w:pPr>
      <w:r w:rsidRPr="005A745D">
        <w:rPr>
          <w:rFonts w:ascii="Verdana" w:hAnsi="Verdana"/>
          <w:b/>
          <w:bCs/>
          <w:i w:val="0"/>
          <w:iCs w:val="0"/>
          <w:color w:val="auto"/>
          <w:sz w:val="22"/>
          <w:szCs w:val="22"/>
        </w:rPr>
        <w:t xml:space="preserve">Tabla </w:t>
      </w:r>
      <w:r w:rsidRPr="005A745D">
        <w:rPr>
          <w:rFonts w:ascii="Verdana" w:hAnsi="Verdana"/>
          <w:b/>
          <w:bCs/>
          <w:i w:val="0"/>
          <w:iCs w:val="0"/>
          <w:color w:val="auto"/>
          <w:sz w:val="22"/>
          <w:szCs w:val="22"/>
        </w:rPr>
        <w:fldChar w:fldCharType="begin"/>
      </w:r>
      <w:r w:rsidRPr="005A745D">
        <w:rPr>
          <w:rFonts w:ascii="Verdana" w:hAnsi="Verdana"/>
          <w:b/>
          <w:bCs/>
          <w:i w:val="0"/>
          <w:iCs w:val="0"/>
          <w:color w:val="auto"/>
          <w:sz w:val="22"/>
          <w:szCs w:val="22"/>
        </w:rPr>
        <w:instrText xml:space="preserve"> SEQ Tabla \* ARABIC </w:instrText>
      </w:r>
      <w:r w:rsidRPr="005A745D">
        <w:rPr>
          <w:rFonts w:ascii="Verdana" w:hAnsi="Verdana"/>
          <w:b/>
          <w:bCs/>
          <w:i w:val="0"/>
          <w:iCs w:val="0"/>
          <w:color w:val="auto"/>
          <w:sz w:val="22"/>
          <w:szCs w:val="22"/>
        </w:rPr>
        <w:fldChar w:fldCharType="separate"/>
      </w:r>
      <w:r w:rsidRPr="005A745D">
        <w:rPr>
          <w:rFonts w:ascii="Verdana" w:hAnsi="Verdana"/>
          <w:b/>
          <w:bCs/>
          <w:i w:val="0"/>
          <w:iCs w:val="0"/>
          <w:noProof/>
          <w:color w:val="auto"/>
          <w:sz w:val="22"/>
          <w:szCs w:val="22"/>
        </w:rPr>
        <w:t>1</w:t>
      </w:r>
      <w:r w:rsidRPr="005A745D">
        <w:rPr>
          <w:rFonts w:ascii="Verdana" w:hAnsi="Verdana"/>
          <w:b/>
          <w:bCs/>
          <w:i w:val="0"/>
          <w:iCs w:val="0"/>
          <w:color w:val="auto"/>
          <w:sz w:val="22"/>
          <w:szCs w:val="22"/>
        </w:rPr>
        <w:fldChar w:fldCharType="end"/>
      </w:r>
      <w:r w:rsidRPr="005A745D">
        <w:rPr>
          <w:rFonts w:ascii="Verdana" w:hAnsi="Verdana"/>
          <w:b/>
          <w:bCs/>
          <w:i w:val="0"/>
          <w:iCs w:val="0"/>
          <w:color w:val="auto"/>
          <w:sz w:val="22"/>
          <w:szCs w:val="22"/>
        </w:rPr>
        <w:t>. Parámetros para la estimación de la CRLR</w:t>
      </w:r>
    </w:p>
    <w:tbl>
      <w:tblPr>
        <w:tblStyle w:val="Tablaconcuadrcula1clara"/>
        <w:tblW w:w="0" w:type="auto"/>
        <w:jc w:val="center"/>
        <w:tblLook w:val="04A0" w:firstRow="1" w:lastRow="0" w:firstColumn="1" w:lastColumn="0" w:noHBand="0" w:noVBand="1"/>
      </w:tblPr>
      <w:tblGrid>
        <w:gridCol w:w="3432"/>
        <w:gridCol w:w="3767"/>
      </w:tblGrid>
      <w:tr w:rsidR="005A745D" w:rsidRPr="005A745D" w14:paraId="321B32F9" w14:textId="77777777" w:rsidTr="00E45197">
        <w:trPr>
          <w:cnfStyle w:val="100000000000" w:firstRow="1" w:lastRow="0" w:firstColumn="0" w:lastColumn="0" w:oddVBand="0" w:evenVBand="0" w:oddHBand="0" w:evenHBand="0" w:firstRowFirstColumn="0" w:firstRowLastColumn="0" w:lastRowFirstColumn="0" w:lastRowLastColumn="0"/>
          <w:trHeight w:val="186"/>
          <w:jc w:val="center"/>
        </w:trPr>
        <w:tc>
          <w:tcPr>
            <w:cnfStyle w:val="001000000000" w:firstRow="0" w:lastRow="0" w:firstColumn="1" w:lastColumn="0" w:oddVBand="0" w:evenVBand="0" w:oddHBand="0" w:evenHBand="0" w:firstRowFirstColumn="0" w:firstRowLastColumn="0" w:lastRowFirstColumn="0" w:lastRowLastColumn="0"/>
            <w:tcW w:w="3432" w:type="dxa"/>
          </w:tcPr>
          <w:p w14:paraId="0CB7F89E" w14:textId="77777777" w:rsidR="005A745D" w:rsidRPr="000160BA" w:rsidRDefault="005A745D" w:rsidP="00E45197">
            <w:pPr>
              <w:keepNext/>
              <w:jc w:val="center"/>
              <w:rPr>
                <w:rFonts w:ascii="Verdana" w:hAnsi="Verdana"/>
                <w:sz w:val="18"/>
                <w:szCs w:val="18"/>
              </w:rPr>
            </w:pPr>
            <w:r w:rsidRPr="000160BA">
              <w:rPr>
                <w:rFonts w:ascii="Verdana" w:hAnsi="Verdana"/>
                <w:sz w:val="18"/>
                <w:szCs w:val="18"/>
              </w:rPr>
              <w:t>Componente</w:t>
            </w:r>
          </w:p>
        </w:tc>
        <w:tc>
          <w:tcPr>
            <w:tcW w:w="3767" w:type="dxa"/>
          </w:tcPr>
          <w:p w14:paraId="08C96B04" w14:textId="77777777" w:rsidR="005A745D" w:rsidRPr="000160BA" w:rsidRDefault="005A745D" w:rsidP="00E45197">
            <w:pPr>
              <w:keepNext/>
              <w:jc w:val="cente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Enfoque adoptado por la SFC</w:t>
            </w:r>
          </w:p>
        </w:tc>
      </w:tr>
      <w:tr w:rsidR="005A745D" w:rsidRPr="005A745D" w14:paraId="2AFF02B1" w14:textId="77777777" w:rsidTr="00E45197">
        <w:trPr>
          <w:trHeight w:val="379"/>
          <w:jc w:val="center"/>
        </w:trPr>
        <w:tc>
          <w:tcPr>
            <w:cnfStyle w:val="001000000000" w:firstRow="0" w:lastRow="0" w:firstColumn="1" w:lastColumn="0" w:oddVBand="0" w:evenVBand="0" w:oddHBand="0" w:evenHBand="0" w:firstRowFirstColumn="0" w:firstRowLastColumn="0" w:lastRowFirstColumn="0" w:lastRowLastColumn="0"/>
            <w:tcW w:w="3432" w:type="dxa"/>
          </w:tcPr>
          <w:p w14:paraId="587F4EFA" w14:textId="77777777" w:rsidR="005A745D" w:rsidRPr="000160BA" w:rsidRDefault="005A745D" w:rsidP="00E45197">
            <w:pPr>
              <w:keepNext/>
              <w:jc w:val="center"/>
              <w:rPr>
                <w:rFonts w:ascii="Verdana" w:hAnsi="Verdana"/>
                <w:b w:val="0"/>
                <w:bCs w:val="0"/>
                <w:sz w:val="18"/>
                <w:szCs w:val="18"/>
              </w:rPr>
            </w:pPr>
            <w:r w:rsidRPr="000160BA">
              <w:rPr>
                <w:rFonts w:ascii="Verdana" w:hAnsi="Verdana"/>
                <w:b w:val="0"/>
                <w:bCs w:val="0"/>
                <w:sz w:val="18"/>
                <w:szCs w:val="18"/>
              </w:rPr>
              <w:t>Último Punto Líquido (UPL)</w:t>
            </w:r>
          </w:p>
        </w:tc>
        <w:tc>
          <w:tcPr>
            <w:tcW w:w="3767" w:type="dxa"/>
          </w:tcPr>
          <w:p w14:paraId="2705A277"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COP: 26 octubre 2050</w:t>
            </w:r>
          </w:p>
          <w:p w14:paraId="1E367A50"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UVR: 19 junio 2049</w:t>
            </w:r>
          </w:p>
        </w:tc>
      </w:tr>
      <w:tr w:rsidR="005A745D" w:rsidRPr="005A745D" w14:paraId="7D7AB8B3" w14:textId="77777777" w:rsidTr="00E45197">
        <w:trPr>
          <w:trHeight w:val="186"/>
          <w:jc w:val="center"/>
        </w:trPr>
        <w:tc>
          <w:tcPr>
            <w:cnfStyle w:val="001000000000" w:firstRow="0" w:lastRow="0" w:firstColumn="1" w:lastColumn="0" w:oddVBand="0" w:evenVBand="0" w:oddHBand="0" w:evenHBand="0" w:firstRowFirstColumn="0" w:firstRowLastColumn="0" w:lastRowFirstColumn="0" w:lastRowLastColumn="0"/>
            <w:tcW w:w="3432" w:type="dxa"/>
          </w:tcPr>
          <w:p w14:paraId="1416F98D" w14:textId="77777777" w:rsidR="005A745D" w:rsidRPr="000160BA" w:rsidRDefault="005A745D" w:rsidP="00E45197">
            <w:pPr>
              <w:keepNext/>
              <w:jc w:val="center"/>
              <w:rPr>
                <w:rFonts w:ascii="Verdana" w:hAnsi="Verdana"/>
                <w:b w:val="0"/>
                <w:bCs w:val="0"/>
                <w:sz w:val="18"/>
                <w:szCs w:val="18"/>
              </w:rPr>
            </w:pPr>
            <w:r w:rsidRPr="000160BA">
              <w:rPr>
                <w:rFonts w:ascii="Verdana" w:hAnsi="Verdana"/>
                <w:b w:val="0"/>
                <w:bCs w:val="0"/>
                <w:sz w:val="18"/>
                <w:szCs w:val="18"/>
              </w:rPr>
              <w:t>Extrapolación</w:t>
            </w:r>
          </w:p>
        </w:tc>
        <w:tc>
          <w:tcPr>
            <w:tcW w:w="3767" w:type="dxa"/>
          </w:tcPr>
          <w:p w14:paraId="50704102"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Método Smith – Wilson</w:t>
            </w:r>
          </w:p>
        </w:tc>
      </w:tr>
      <w:tr w:rsidR="005A745D" w:rsidRPr="005A745D" w14:paraId="7609BC76" w14:textId="77777777" w:rsidTr="00E45197">
        <w:trPr>
          <w:trHeight w:val="372"/>
          <w:jc w:val="center"/>
        </w:trPr>
        <w:tc>
          <w:tcPr>
            <w:cnfStyle w:val="001000000000" w:firstRow="0" w:lastRow="0" w:firstColumn="1" w:lastColumn="0" w:oddVBand="0" w:evenVBand="0" w:oddHBand="0" w:evenHBand="0" w:firstRowFirstColumn="0" w:firstRowLastColumn="0" w:lastRowFirstColumn="0" w:lastRowLastColumn="0"/>
            <w:tcW w:w="3432" w:type="dxa"/>
          </w:tcPr>
          <w:p w14:paraId="680C9619" w14:textId="77777777" w:rsidR="005A745D" w:rsidRPr="000160BA" w:rsidRDefault="005A745D" w:rsidP="00E45197">
            <w:pPr>
              <w:keepNext/>
              <w:jc w:val="center"/>
              <w:rPr>
                <w:rFonts w:ascii="Verdana" w:hAnsi="Verdana"/>
                <w:b w:val="0"/>
                <w:bCs w:val="0"/>
                <w:sz w:val="18"/>
                <w:szCs w:val="18"/>
              </w:rPr>
            </w:pPr>
            <w:r w:rsidRPr="000160BA">
              <w:rPr>
                <w:rFonts w:ascii="Verdana" w:hAnsi="Verdana"/>
                <w:b w:val="0"/>
                <w:bCs w:val="0"/>
                <w:sz w:val="18"/>
                <w:szCs w:val="18"/>
              </w:rPr>
              <w:t>Tasa forward de largo plazo (UFR)</w:t>
            </w:r>
          </w:p>
        </w:tc>
        <w:tc>
          <w:tcPr>
            <w:tcW w:w="3767" w:type="dxa"/>
          </w:tcPr>
          <w:p w14:paraId="45E72CA6"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COP: 5,7%</w:t>
            </w:r>
          </w:p>
          <w:p w14:paraId="50A8C7E7"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UVR: 2,7%</w:t>
            </w:r>
          </w:p>
        </w:tc>
      </w:tr>
      <w:tr w:rsidR="005A745D" w:rsidRPr="005A745D" w14:paraId="4D67082C" w14:textId="77777777" w:rsidTr="00E45197">
        <w:trPr>
          <w:trHeight w:val="379"/>
          <w:jc w:val="center"/>
        </w:trPr>
        <w:tc>
          <w:tcPr>
            <w:cnfStyle w:val="001000000000" w:firstRow="0" w:lastRow="0" w:firstColumn="1" w:lastColumn="0" w:oddVBand="0" w:evenVBand="0" w:oddHBand="0" w:evenHBand="0" w:firstRowFirstColumn="0" w:firstRowLastColumn="0" w:lastRowFirstColumn="0" w:lastRowLastColumn="0"/>
            <w:tcW w:w="3432" w:type="dxa"/>
          </w:tcPr>
          <w:p w14:paraId="6E8FE902" w14:textId="77777777" w:rsidR="005A745D" w:rsidRPr="000160BA" w:rsidRDefault="005A745D" w:rsidP="00E45197">
            <w:pPr>
              <w:keepNext/>
              <w:jc w:val="center"/>
              <w:rPr>
                <w:rFonts w:ascii="Verdana" w:hAnsi="Verdana"/>
                <w:b w:val="0"/>
                <w:bCs w:val="0"/>
                <w:sz w:val="18"/>
                <w:szCs w:val="18"/>
              </w:rPr>
            </w:pPr>
            <w:r w:rsidRPr="000160BA">
              <w:rPr>
                <w:rFonts w:ascii="Verdana" w:hAnsi="Verdana"/>
                <w:b w:val="0"/>
                <w:bCs w:val="0"/>
                <w:sz w:val="18"/>
                <w:szCs w:val="18"/>
              </w:rPr>
              <w:t>Periodo de convergencia</w:t>
            </w:r>
          </w:p>
        </w:tc>
        <w:tc>
          <w:tcPr>
            <w:tcW w:w="3767" w:type="dxa"/>
          </w:tcPr>
          <w:p w14:paraId="21EAF288"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COP: 66 años</w:t>
            </w:r>
            <w:r w:rsidRPr="000160BA">
              <w:rPr>
                <w:rFonts w:ascii="Verdana" w:hAnsi="Verdana"/>
                <w:sz w:val="18"/>
                <w:szCs w:val="18"/>
              </w:rPr>
              <w:br/>
              <w:t>UVR: 65 años</w:t>
            </w:r>
          </w:p>
        </w:tc>
      </w:tr>
      <w:tr w:rsidR="005A745D" w:rsidRPr="005A745D" w14:paraId="158D9F29" w14:textId="77777777" w:rsidTr="00E45197">
        <w:trPr>
          <w:trHeight w:val="186"/>
          <w:jc w:val="center"/>
        </w:trPr>
        <w:tc>
          <w:tcPr>
            <w:cnfStyle w:val="001000000000" w:firstRow="0" w:lastRow="0" w:firstColumn="1" w:lastColumn="0" w:oddVBand="0" w:evenVBand="0" w:oddHBand="0" w:evenHBand="0" w:firstRowFirstColumn="0" w:firstRowLastColumn="0" w:lastRowFirstColumn="0" w:lastRowLastColumn="0"/>
            <w:tcW w:w="3432" w:type="dxa"/>
          </w:tcPr>
          <w:p w14:paraId="04B165BE" w14:textId="77777777" w:rsidR="005A745D" w:rsidRPr="000160BA" w:rsidRDefault="005A745D" w:rsidP="00E45197">
            <w:pPr>
              <w:keepNext/>
              <w:jc w:val="center"/>
              <w:rPr>
                <w:rFonts w:ascii="Verdana" w:hAnsi="Verdana"/>
                <w:b w:val="0"/>
                <w:bCs w:val="0"/>
                <w:sz w:val="18"/>
                <w:szCs w:val="18"/>
              </w:rPr>
            </w:pPr>
            <w:r w:rsidRPr="000160BA">
              <w:rPr>
                <w:rFonts w:ascii="Verdana" w:hAnsi="Verdana"/>
                <w:b w:val="0"/>
                <w:bCs w:val="0"/>
                <w:sz w:val="18"/>
                <w:szCs w:val="18"/>
              </w:rPr>
              <w:t>Plazo máximo</w:t>
            </w:r>
          </w:p>
        </w:tc>
        <w:tc>
          <w:tcPr>
            <w:tcW w:w="3767" w:type="dxa"/>
          </w:tcPr>
          <w:p w14:paraId="2498D0C3" w14:textId="77777777" w:rsidR="005A745D" w:rsidRPr="000160BA" w:rsidRDefault="005A745D" w:rsidP="00E45197">
            <w:pPr>
              <w:keepNext/>
              <w:jc w:val="center"/>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0160BA">
              <w:rPr>
                <w:rFonts w:ascii="Verdana" w:hAnsi="Verdana"/>
                <w:sz w:val="18"/>
                <w:szCs w:val="18"/>
              </w:rPr>
              <w:t>120 años</w:t>
            </w:r>
          </w:p>
        </w:tc>
      </w:tr>
    </w:tbl>
    <w:p w14:paraId="751FA4F5" w14:textId="075BC40B" w:rsidR="005A745D" w:rsidRPr="004D5177" w:rsidRDefault="005A745D" w:rsidP="004D5177">
      <w:pPr>
        <w:keepNext/>
        <w:jc w:val="center"/>
        <w:rPr>
          <w:rFonts w:ascii="Verdana" w:hAnsi="Verdana"/>
          <w:sz w:val="14"/>
          <w:szCs w:val="14"/>
          <w:lang w:val="es-CO"/>
        </w:rPr>
      </w:pPr>
      <w:r w:rsidRPr="004D5177">
        <w:rPr>
          <w:rFonts w:ascii="Verdana" w:hAnsi="Verdana"/>
          <w:sz w:val="14"/>
          <w:szCs w:val="14"/>
        </w:rPr>
        <w:t xml:space="preserve">Fuente: SFC. </w:t>
      </w:r>
      <w:r w:rsidRPr="004D5177">
        <w:rPr>
          <w:rFonts w:ascii="Verdana" w:hAnsi="Verdana"/>
          <w:sz w:val="14"/>
          <w:szCs w:val="14"/>
          <w:lang w:val="es-CO"/>
        </w:rPr>
        <w:t>Datos de referencia al momento de la elaboración de este documento.</w:t>
      </w:r>
    </w:p>
    <w:p w14:paraId="5A084CA1" w14:textId="77777777" w:rsidR="005A745D" w:rsidRPr="004D5177" w:rsidRDefault="005A745D" w:rsidP="004D5177">
      <w:pPr>
        <w:keepNext/>
        <w:jc w:val="center"/>
        <w:rPr>
          <w:rFonts w:ascii="Verdana" w:hAnsi="Verdana"/>
          <w:sz w:val="14"/>
          <w:szCs w:val="14"/>
          <w:lang w:val="es-CO"/>
        </w:rPr>
      </w:pPr>
      <w:r w:rsidRPr="004D5177">
        <w:rPr>
          <w:rFonts w:ascii="Verdana" w:hAnsi="Verdana"/>
          <w:sz w:val="14"/>
          <w:szCs w:val="14"/>
          <w:lang w:val="es-CO"/>
        </w:rPr>
        <w:t>El valor de los parámetros UPL, UFR y período de convergencia son variables y dependerán de la dinámica de los referentes del mercado.</w:t>
      </w:r>
    </w:p>
    <w:p w14:paraId="0B709F9F" w14:textId="77777777" w:rsidR="005A745D" w:rsidRPr="005A745D" w:rsidRDefault="005A745D" w:rsidP="005A745D">
      <w:pPr>
        <w:rPr>
          <w:rFonts w:ascii="Verdana" w:hAnsi="Verdana"/>
          <w:sz w:val="22"/>
          <w:szCs w:val="22"/>
        </w:rPr>
      </w:pPr>
    </w:p>
    <w:p w14:paraId="7AA85626" w14:textId="77777777" w:rsidR="005A745D" w:rsidRDefault="005A745D" w:rsidP="005A745D">
      <w:pPr>
        <w:jc w:val="both"/>
        <w:rPr>
          <w:rFonts w:ascii="Verdana" w:hAnsi="Verdana"/>
          <w:sz w:val="22"/>
          <w:szCs w:val="22"/>
        </w:rPr>
      </w:pPr>
      <w:r w:rsidRPr="005A745D">
        <w:rPr>
          <w:rFonts w:ascii="Verdana" w:hAnsi="Verdana"/>
          <w:sz w:val="22"/>
          <w:szCs w:val="22"/>
        </w:rPr>
        <w:t xml:space="preserve">El presente documento cuenta con cuatro secciones adicionales al resumen y a esta introducción. En la tercera sección se detalla el cálculo y selección de los parámetros necesarios para la estimación de la </w:t>
      </w:r>
      <w:r w:rsidRPr="005A745D">
        <w:rPr>
          <w:rFonts w:ascii="Verdana" w:hAnsi="Verdana" w:cs="Arial"/>
          <w:bCs/>
          <w:sz w:val="22"/>
          <w:szCs w:val="22"/>
        </w:rPr>
        <w:t>CRLR</w:t>
      </w:r>
      <w:r w:rsidRPr="005A745D">
        <w:rPr>
          <w:rFonts w:ascii="Verdana" w:hAnsi="Verdana"/>
          <w:sz w:val="22"/>
          <w:szCs w:val="22"/>
        </w:rPr>
        <w:t>. La cuarta sección plantea la ponderación de la</w:t>
      </w:r>
      <w:r w:rsidRPr="005A745D">
        <w:rPr>
          <w:rFonts w:ascii="Verdana" w:hAnsi="Verdana" w:cs="Arial"/>
          <w:bCs/>
          <w:sz w:val="22"/>
          <w:szCs w:val="22"/>
        </w:rPr>
        <w:t xml:space="preserve"> CRLR</w:t>
      </w:r>
      <w:r w:rsidRPr="005A745D">
        <w:rPr>
          <w:rFonts w:ascii="Verdana" w:hAnsi="Verdana"/>
          <w:sz w:val="22"/>
          <w:szCs w:val="22"/>
        </w:rPr>
        <w:t>. La quinta sección aborda el cálculo de la inflación implícita y en la sexta se presentan las conclusiones.</w:t>
      </w:r>
    </w:p>
    <w:p w14:paraId="44C1CD8A" w14:textId="77777777" w:rsidR="000160BA" w:rsidRPr="005A745D" w:rsidRDefault="000160BA" w:rsidP="005A745D">
      <w:pPr>
        <w:jc w:val="both"/>
        <w:rPr>
          <w:rFonts w:ascii="Verdana" w:hAnsi="Verdana"/>
          <w:sz w:val="22"/>
          <w:szCs w:val="22"/>
        </w:rPr>
      </w:pPr>
    </w:p>
    <w:p w14:paraId="26FDE345" w14:textId="77777777" w:rsidR="005A745D" w:rsidRPr="005A745D" w:rsidRDefault="005A745D" w:rsidP="005A745D">
      <w:pPr>
        <w:pStyle w:val="Prrafodelista"/>
        <w:keepNext/>
        <w:numPr>
          <w:ilvl w:val="0"/>
          <w:numId w:val="2"/>
        </w:numPr>
        <w:spacing w:after="0" w:line="278" w:lineRule="auto"/>
        <w:rPr>
          <w:rFonts w:ascii="Verdana" w:hAnsi="Verdana"/>
          <w:b/>
          <w:bCs/>
          <w:color w:val="1778BD"/>
        </w:rPr>
      </w:pPr>
      <w:r w:rsidRPr="005A745D">
        <w:rPr>
          <w:rFonts w:ascii="Verdana" w:hAnsi="Verdana"/>
          <w:b/>
          <w:bCs/>
          <w:color w:val="1778BD"/>
        </w:rPr>
        <w:lastRenderedPageBreak/>
        <w:t xml:space="preserve">Curva de Rendimiento Libre de Riesgo (CRLR) </w:t>
      </w:r>
    </w:p>
    <w:p w14:paraId="7504A475" w14:textId="77777777" w:rsidR="005A745D" w:rsidRPr="005A745D" w:rsidRDefault="005A745D" w:rsidP="005A745D">
      <w:pPr>
        <w:keepNext/>
        <w:rPr>
          <w:rFonts w:ascii="Verdana" w:hAnsi="Verdana"/>
          <w:b/>
          <w:color w:val="1778BD"/>
          <w:sz w:val="22"/>
          <w:szCs w:val="22"/>
          <w:lang w:val="es-CO"/>
        </w:rPr>
      </w:pPr>
    </w:p>
    <w:p w14:paraId="4E2606E7" w14:textId="5FE906C8" w:rsidR="005A745D" w:rsidRPr="005A745D" w:rsidRDefault="005A745D" w:rsidP="005A745D">
      <w:pPr>
        <w:keepNext/>
        <w:jc w:val="both"/>
        <w:rPr>
          <w:rFonts w:ascii="Verdana" w:hAnsi="Verdana"/>
          <w:sz w:val="22"/>
          <w:szCs w:val="22"/>
        </w:rPr>
      </w:pPr>
      <w:r w:rsidRPr="005A745D">
        <w:rPr>
          <w:rFonts w:ascii="Verdana" w:hAnsi="Verdana"/>
          <w:sz w:val="22"/>
          <w:szCs w:val="22"/>
        </w:rPr>
        <w:t>Según EIOPA (2023)</w:t>
      </w:r>
      <w:r w:rsidR="007027C1">
        <w:rPr>
          <w:rFonts w:ascii="Verdana" w:hAnsi="Verdana"/>
          <w:sz w:val="22"/>
          <w:szCs w:val="22"/>
        </w:rPr>
        <w:t>,</w:t>
      </w:r>
      <w:r w:rsidRPr="005A745D">
        <w:rPr>
          <w:rFonts w:ascii="Verdana" w:hAnsi="Verdana"/>
          <w:sz w:val="22"/>
          <w:szCs w:val="22"/>
        </w:rPr>
        <w:t xml:space="preserve"> la CRLR representa la rentabilidad de invertir en un activo exento de riesgo de incumplimiento, caracterizado por su alta liquidez, lo que facilita su compra y venta en el mercado, y su estabilidad a lo largo del tiempo. Así mismo, en el marco de Solvencia II, los swaps se consideran la primera opción para calcular la tasa de interés libre de riesgo, siempre y cuando el mercado cumpla con las condiciones de ser</w:t>
      </w:r>
      <w:r w:rsidR="007027C1">
        <w:rPr>
          <w:rFonts w:ascii="Verdana" w:hAnsi="Verdana"/>
          <w:sz w:val="22"/>
          <w:szCs w:val="22"/>
        </w:rPr>
        <w:t xml:space="preserve"> </w:t>
      </w:r>
      <w:r w:rsidRPr="00D40E0B">
        <w:rPr>
          <w:rFonts w:ascii="Verdana" w:hAnsi="Verdana"/>
          <w:i/>
          <w:iCs/>
          <w:sz w:val="22"/>
          <w:szCs w:val="22"/>
        </w:rPr>
        <w:t>Profundo, Líquido y Transparente</w:t>
      </w:r>
      <w:r w:rsidRPr="005A745D">
        <w:rPr>
          <w:rFonts w:ascii="Verdana" w:hAnsi="Verdana"/>
          <w:sz w:val="22"/>
          <w:szCs w:val="22"/>
        </w:rPr>
        <w:t xml:space="preserve"> (PLT).</w:t>
      </w:r>
    </w:p>
    <w:p w14:paraId="23E3A310" w14:textId="77777777" w:rsidR="005A745D" w:rsidRPr="005A745D" w:rsidRDefault="005A745D" w:rsidP="005A745D">
      <w:pPr>
        <w:jc w:val="both"/>
        <w:rPr>
          <w:rFonts w:ascii="Verdana" w:hAnsi="Verdana"/>
          <w:sz w:val="22"/>
          <w:szCs w:val="22"/>
        </w:rPr>
      </w:pPr>
    </w:p>
    <w:p w14:paraId="6EF359CD" w14:textId="5A1F2244" w:rsidR="005A745D" w:rsidRDefault="005A745D" w:rsidP="005A745D">
      <w:pPr>
        <w:jc w:val="both"/>
        <w:rPr>
          <w:rFonts w:ascii="Verdana" w:hAnsi="Verdana"/>
          <w:sz w:val="22"/>
          <w:szCs w:val="22"/>
        </w:rPr>
      </w:pPr>
      <w:r w:rsidRPr="005A745D">
        <w:rPr>
          <w:rFonts w:ascii="Verdana" w:hAnsi="Verdana"/>
          <w:sz w:val="22"/>
          <w:szCs w:val="22"/>
        </w:rPr>
        <w:t>Un mercado PLT es aquel que permite realizar grandes transacciones sin afectar significativamente los precios (</w:t>
      </w:r>
      <w:r w:rsidR="007027C1">
        <w:rPr>
          <w:rFonts w:ascii="Verdana" w:hAnsi="Verdana"/>
          <w:sz w:val="22"/>
          <w:szCs w:val="22"/>
        </w:rPr>
        <w:t>p</w:t>
      </w:r>
      <w:r w:rsidRPr="005A745D">
        <w:rPr>
          <w:rFonts w:ascii="Verdana" w:hAnsi="Verdana"/>
          <w:sz w:val="22"/>
          <w:szCs w:val="22"/>
        </w:rPr>
        <w:t>rofundo), facilita la compraventa rápida de activos (</w:t>
      </w:r>
      <w:r w:rsidR="007027C1">
        <w:rPr>
          <w:rFonts w:ascii="Verdana" w:hAnsi="Verdana"/>
          <w:sz w:val="22"/>
          <w:szCs w:val="22"/>
        </w:rPr>
        <w:t>l</w:t>
      </w:r>
      <w:r w:rsidRPr="005A745D">
        <w:rPr>
          <w:rFonts w:ascii="Verdana" w:hAnsi="Verdana"/>
          <w:sz w:val="22"/>
          <w:szCs w:val="22"/>
        </w:rPr>
        <w:t>íquido) y la información sobre precios y transacciones es accesible, clara y actualizada para todos los participantes (</w:t>
      </w:r>
      <w:r w:rsidR="007027C1">
        <w:rPr>
          <w:rFonts w:ascii="Verdana" w:hAnsi="Verdana"/>
          <w:sz w:val="22"/>
          <w:szCs w:val="22"/>
        </w:rPr>
        <w:t>t</w:t>
      </w:r>
      <w:r w:rsidRPr="005A745D">
        <w:rPr>
          <w:rFonts w:ascii="Verdana" w:hAnsi="Verdana"/>
          <w:sz w:val="22"/>
          <w:szCs w:val="22"/>
        </w:rPr>
        <w:t>ransparente).</w:t>
      </w:r>
    </w:p>
    <w:p w14:paraId="5A49A9FF" w14:textId="77777777" w:rsidR="007027C1" w:rsidRPr="005A745D" w:rsidRDefault="007027C1" w:rsidP="005A745D">
      <w:pPr>
        <w:jc w:val="both"/>
        <w:rPr>
          <w:rFonts w:ascii="Verdana" w:hAnsi="Verdana"/>
          <w:sz w:val="22"/>
          <w:szCs w:val="22"/>
        </w:rPr>
      </w:pPr>
    </w:p>
    <w:p w14:paraId="4B6AB930" w14:textId="02BF3219" w:rsidR="007027C1" w:rsidRDefault="005A745D" w:rsidP="005A745D">
      <w:pPr>
        <w:jc w:val="both"/>
        <w:rPr>
          <w:rFonts w:ascii="Verdana" w:hAnsi="Verdana"/>
          <w:sz w:val="22"/>
          <w:szCs w:val="22"/>
        </w:rPr>
      </w:pPr>
      <w:r w:rsidRPr="005A745D">
        <w:rPr>
          <w:rFonts w:ascii="Verdana" w:hAnsi="Verdana"/>
          <w:sz w:val="22"/>
          <w:szCs w:val="22"/>
        </w:rPr>
        <w:t>EIOPA (2023) sugiere que, cuando no existe un mercado PLT, se utilicen bonos gubernamentales como instrumentos alternativos para calcular la tasa libre de riesgo. Debido a la falta de profundidad del mercado de swaps en Colombia</w:t>
      </w:r>
      <w:r w:rsidR="007027C1">
        <w:rPr>
          <w:rFonts w:ascii="Verdana" w:hAnsi="Verdana"/>
          <w:sz w:val="22"/>
          <w:szCs w:val="22"/>
        </w:rPr>
        <w:t xml:space="preserve"> </w:t>
      </w:r>
      <w:r w:rsidR="007027C1" w:rsidRPr="005A745D">
        <w:rPr>
          <w:rFonts w:ascii="Verdana" w:hAnsi="Verdana"/>
          <w:sz w:val="22"/>
          <w:szCs w:val="22"/>
        </w:rPr>
        <w:t>y las limitaciones en la disponibilidad y calidad de los datos necesarios que afectan la integridad de las métricas requeridas</w:t>
      </w:r>
      <w:r w:rsidRPr="005A745D">
        <w:rPr>
          <w:rFonts w:ascii="Verdana" w:hAnsi="Verdana"/>
          <w:sz w:val="22"/>
          <w:szCs w:val="22"/>
        </w:rPr>
        <w:t>,</w:t>
      </w:r>
      <w:r w:rsidR="007027C1">
        <w:rPr>
          <w:rFonts w:ascii="Verdana" w:hAnsi="Verdana"/>
          <w:sz w:val="22"/>
          <w:szCs w:val="22"/>
        </w:rPr>
        <w:t xml:space="preserve"> se</w:t>
      </w:r>
      <w:r w:rsidRPr="005A745D">
        <w:rPr>
          <w:rFonts w:ascii="Verdana" w:hAnsi="Verdana"/>
          <w:sz w:val="22"/>
          <w:szCs w:val="22"/>
        </w:rPr>
        <w:t xml:space="preserve"> dificulta su uso para calcular el UPL</w:t>
      </w:r>
      <w:r w:rsidR="007027C1">
        <w:rPr>
          <w:rFonts w:ascii="Verdana" w:hAnsi="Verdana"/>
          <w:sz w:val="22"/>
          <w:szCs w:val="22"/>
        </w:rPr>
        <w:t>. En consecuencia</w:t>
      </w:r>
      <w:r w:rsidRPr="005A745D">
        <w:rPr>
          <w:rFonts w:ascii="Verdana" w:hAnsi="Verdana"/>
          <w:sz w:val="22"/>
          <w:szCs w:val="22"/>
        </w:rPr>
        <w:t xml:space="preserve">, para el caso colombiano se utilizarán los bonos gubernamentales (TES en pesos y UVR). </w:t>
      </w:r>
    </w:p>
    <w:p w14:paraId="6BF9F3CB" w14:textId="77777777" w:rsidR="007027C1" w:rsidRDefault="007027C1" w:rsidP="005A745D">
      <w:pPr>
        <w:jc w:val="both"/>
        <w:rPr>
          <w:rFonts w:ascii="Verdana" w:hAnsi="Verdana"/>
          <w:sz w:val="22"/>
          <w:szCs w:val="22"/>
        </w:rPr>
      </w:pPr>
    </w:p>
    <w:p w14:paraId="08C90822" w14:textId="5375DF07" w:rsidR="005A745D" w:rsidRPr="005A745D" w:rsidRDefault="005A745D" w:rsidP="005A745D">
      <w:pPr>
        <w:jc w:val="both"/>
        <w:rPr>
          <w:rFonts w:ascii="Verdana" w:hAnsi="Verdana"/>
          <w:sz w:val="22"/>
          <w:szCs w:val="22"/>
        </w:rPr>
      </w:pPr>
      <w:r w:rsidRPr="005A745D">
        <w:rPr>
          <w:rFonts w:ascii="Verdana" w:hAnsi="Verdana"/>
          <w:sz w:val="22"/>
          <w:szCs w:val="22"/>
        </w:rPr>
        <w:t>A continuación, se detallan los parámetros necesarios para el cálculo de la tasa libre de riesgo.</w:t>
      </w:r>
    </w:p>
    <w:p w14:paraId="2349C12B" w14:textId="77777777" w:rsidR="005A745D" w:rsidRPr="005A745D" w:rsidRDefault="005A745D" w:rsidP="005A745D">
      <w:pPr>
        <w:pStyle w:val="Prrafodelista"/>
        <w:numPr>
          <w:ilvl w:val="1"/>
          <w:numId w:val="3"/>
        </w:numPr>
        <w:spacing w:before="100" w:beforeAutospacing="1" w:line="278" w:lineRule="auto"/>
        <w:rPr>
          <w:rFonts w:ascii="Verdana" w:hAnsi="Verdana"/>
          <w:b/>
          <w:bCs/>
          <w:color w:val="1778BD"/>
        </w:rPr>
      </w:pPr>
      <w:r w:rsidRPr="005A745D">
        <w:rPr>
          <w:rFonts w:ascii="Verdana" w:hAnsi="Verdana"/>
          <w:b/>
          <w:bCs/>
          <w:color w:val="1778BD"/>
        </w:rPr>
        <w:t>Último Punto Líquido (UPL)</w:t>
      </w:r>
    </w:p>
    <w:p w14:paraId="5F8446AA" w14:textId="77777777" w:rsidR="005A745D" w:rsidRPr="005A745D" w:rsidRDefault="005A745D" w:rsidP="005A745D">
      <w:pPr>
        <w:jc w:val="both"/>
        <w:rPr>
          <w:rFonts w:ascii="Verdana" w:hAnsi="Verdana"/>
          <w:sz w:val="22"/>
          <w:szCs w:val="22"/>
        </w:rPr>
      </w:pPr>
      <w:r w:rsidRPr="005A745D">
        <w:rPr>
          <w:rFonts w:ascii="Verdana" w:hAnsi="Verdana"/>
          <w:sz w:val="22"/>
          <w:szCs w:val="22"/>
        </w:rPr>
        <w:t>El UPL se refiere al plazo más largo de la curva cero cupón donde los títulos subyacentes son considerados líquidos. Por su parte, la extrapolación mediante el método de Smith-Wilson, recomendado por Solvencia II, requiere identificar los vencimientos de títulos líquidos basándose en criterios como el monto negociado, el volumen de transacciones y los diferenciales entre precios de compra y venta (</w:t>
      </w:r>
      <w:r w:rsidRPr="005A745D">
        <w:rPr>
          <w:rFonts w:ascii="Verdana" w:hAnsi="Verdana"/>
          <w:i/>
          <w:iCs/>
          <w:sz w:val="22"/>
          <w:szCs w:val="22"/>
        </w:rPr>
        <w:t>bid-ask spread</w:t>
      </w:r>
      <w:r w:rsidRPr="005A745D">
        <w:rPr>
          <w:rFonts w:ascii="Verdana" w:hAnsi="Verdana"/>
          <w:sz w:val="22"/>
          <w:szCs w:val="22"/>
        </w:rPr>
        <w:t>).</w:t>
      </w:r>
    </w:p>
    <w:p w14:paraId="7097E2DD" w14:textId="77777777" w:rsidR="005A745D" w:rsidRPr="005A745D" w:rsidRDefault="005A745D" w:rsidP="005A745D">
      <w:pPr>
        <w:jc w:val="both"/>
        <w:rPr>
          <w:rFonts w:ascii="Verdana" w:hAnsi="Verdana"/>
          <w:sz w:val="22"/>
          <w:szCs w:val="22"/>
        </w:rPr>
      </w:pPr>
    </w:p>
    <w:p w14:paraId="0DE722D6" w14:textId="077CEFD1" w:rsidR="005A745D" w:rsidRPr="005A745D" w:rsidRDefault="005A745D" w:rsidP="005A745D">
      <w:pPr>
        <w:jc w:val="both"/>
        <w:rPr>
          <w:rFonts w:ascii="Verdana" w:hAnsi="Verdana"/>
          <w:sz w:val="22"/>
          <w:szCs w:val="22"/>
        </w:rPr>
      </w:pPr>
      <w:r w:rsidRPr="005A745D">
        <w:rPr>
          <w:rFonts w:ascii="Verdana" w:hAnsi="Verdana"/>
          <w:sz w:val="22"/>
          <w:szCs w:val="22"/>
        </w:rPr>
        <w:t xml:space="preserve">Igualmente, Solvencia II </w:t>
      </w:r>
      <w:r w:rsidRPr="00B822FB">
        <w:rPr>
          <w:rFonts w:ascii="Verdana" w:hAnsi="Verdana"/>
          <w:sz w:val="22"/>
          <w:szCs w:val="22"/>
        </w:rPr>
        <w:t>establece la coherencia del mercado</w:t>
      </w:r>
      <w:r w:rsidR="00B97B96" w:rsidRPr="00B822FB">
        <w:rPr>
          <w:rStyle w:val="Refdenotaalpie"/>
          <w:rFonts w:ascii="Verdana" w:hAnsi="Verdana"/>
          <w:sz w:val="22"/>
          <w:szCs w:val="22"/>
        </w:rPr>
        <w:footnoteReference w:id="2"/>
      </w:r>
      <w:r w:rsidRPr="005A745D">
        <w:rPr>
          <w:rFonts w:ascii="Verdana" w:hAnsi="Verdana"/>
          <w:sz w:val="22"/>
          <w:szCs w:val="22"/>
        </w:rPr>
        <w:t xml:space="preserve"> como principio básico para la evaluación de la situación financiera y de solvencia de las compañías de seguros y reaseguros. Este principio se aplica tanto a los activos como a los pasivos, sustentando la evaluación PLT de los mercados donde se forman las tasas de interés. Se considera que la evaluación PLT debe fomentar </w:t>
      </w:r>
      <w:r w:rsidRPr="005A745D">
        <w:rPr>
          <w:rFonts w:ascii="Verdana" w:hAnsi="Verdana"/>
          <w:sz w:val="22"/>
          <w:szCs w:val="22"/>
        </w:rPr>
        <w:lastRenderedPageBreak/>
        <w:t xml:space="preserve">el uso óptimo de la información proporcionada por los mercados financieros, garantizando al mismo tiempo el cumplimiento de los requisitos de liquidez y profundidad. </w:t>
      </w:r>
    </w:p>
    <w:p w14:paraId="77302A9B" w14:textId="77777777" w:rsidR="005A745D" w:rsidRPr="005A745D" w:rsidRDefault="005A745D" w:rsidP="005A745D">
      <w:pPr>
        <w:jc w:val="both"/>
        <w:rPr>
          <w:rFonts w:ascii="Verdana" w:hAnsi="Verdana"/>
          <w:sz w:val="22"/>
          <w:szCs w:val="22"/>
        </w:rPr>
      </w:pPr>
    </w:p>
    <w:p w14:paraId="60A71B17" w14:textId="77777777" w:rsidR="00837AA5" w:rsidRDefault="005A745D" w:rsidP="005A745D">
      <w:pPr>
        <w:jc w:val="both"/>
        <w:rPr>
          <w:rFonts w:ascii="Verdana" w:hAnsi="Verdana"/>
          <w:sz w:val="22"/>
          <w:szCs w:val="22"/>
        </w:rPr>
      </w:pPr>
      <w:r w:rsidRPr="005A745D">
        <w:rPr>
          <w:rFonts w:ascii="Verdana" w:hAnsi="Verdana"/>
          <w:sz w:val="22"/>
          <w:szCs w:val="22"/>
        </w:rPr>
        <w:t>Para este análisis, se tomaron como base los TES en pesos y en UVR, enfocándose en su evaluación bajo los criterios de PLT, los cuales fueron:</w:t>
      </w:r>
      <w:r w:rsidRPr="005A745D">
        <w:rPr>
          <w:rFonts w:ascii="Verdana" w:hAnsi="Verdana"/>
          <w:i/>
          <w:iCs/>
          <w:sz w:val="22"/>
          <w:szCs w:val="22"/>
        </w:rPr>
        <w:t xml:space="preserve"> i)</w:t>
      </w:r>
      <w:r w:rsidRPr="005A745D">
        <w:rPr>
          <w:rFonts w:ascii="Verdana" w:hAnsi="Verdana"/>
          <w:sz w:val="22"/>
          <w:szCs w:val="22"/>
        </w:rPr>
        <w:t xml:space="preserve"> mayor proporción en monto transado,</w:t>
      </w:r>
      <w:r w:rsidRPr="005A745D">
        <w:rPr>
          <w:rFonts w:ascii="Verdana" w:hAnsi="Verdana"/>
          <w:i/>
          <w:iCs/>
          <w:sz w:val="22"/>
          <w:szCs w:val="22"/>
        </w:rPr>
        <w:t xml:space="preserve"> ii)</w:t>
      </w:r>
      <w:r w:rsidRPr="005A745D">
        <w:rPr>
          <w:rFonts w:ascii="Verdana" w:hAnsi="Verdana"/>
          <w:sz w:val="22"/>
          <w:szCs w:val="22"/>
        </w:rPr>
        <w:t xml:space="preserve"> mayor proporción en número de operaciones y </w:t>
      </w:r>
      <w:r w:rsidRPr="005A745D">
        <w:rPr>
          <w:rFonts w:ascii="Verdana" w:hAnsi="Verdana"/>
          <w:i/>
          <w:iCs/>
          <w:sz w:val="22"/>
          <w:szCs w:val="22"/>
        </w:rPr>
        <w:t xml:space="preserve">iii) </w:t>
      </w:r>
      <w:r w:rsidRPr="005A745D">
        <w:rPr>
          <w:rFonts w:ascii="Verdana" w:hAnsi="Verdana"/>
          <w:sz w:val="22"/>
          <w:szCs w:val="22"/>
        </w:rPr>
        <w:t xml:space="preserve">un </w:t>
      </w:r>
      <w:r w:rsidRPr="005A745D">
        <w:rPr>
          <w:rFonts w:ascii="Verdana" w:hAnsi="Verdana"/>
          <w:i/>
          <w:iCs/>
          <w:sz w:val="22"/>
          <w:szCs w:val="22"/>
        </w:rPr>
        <w:t>bid-ask spread</w:t>
      </w:r>
      <w:r w:rsidRPr="005A745D">
        <w:rPr>
          <w:rFonts w:ascii="Verdana" w:hAnsi="Verdana"/>
          <w:sz w:val="22"/>
          <w:szCs w:val="22"/>
        </w:rPr>
        <w:t xml:space="preserve"> inferior a 0,05 puntos porcentuales (pp). Así, se seleccionaron los años al vencimiento que cumplieran con al menos dos de estas condiciones. </w:t>
      </w:r>
    </w:p>
    <w:p w14:paraId="59EAE756" w14:textId="77777777" w:rsidR="00B822FB" w:rsidRDefault="00B822FB" w:rsidP="005A745D">
      <w:pPr>
        <w:jc w:val="both"/>
        <w:rPr>
          <w:rFonts w:ascii="Verdana" w:hAnsi="Verdana"/>
          <w:sz w:val="22"/>
          <w:szCs w:val="22"/>
        </w:rPr>
      </w:pPr>
    </w:p>
    <w:p w14:paraId="0DDF655D" w14:textId="15D26B93" w:rsidR="005A745D" w:rsidRPr="005A745D" w:rsidRDefault="005A745D" w:rsidP="005A745D">
      <w:pPr>
        <w:jc w:val="both"/>
        <w:rPr>
          <w:rFonts w:ascii="Verdana" w:hAnsi="Verdana"/>
          <w:sz w:val="22"/>
          <w:szCs w:val="22"/>
        </w:rPr>
      </w:pPr>
      <w:r w:rsidRPr="005A745D">
        <w:rPr>
          <w:rFonts w:ascii="Verdana" w:hAnsi="Verdana"/>
          <w:sz w:val="22"/>
          <w:szCs w:val="22"/>
        </w:rPr>
        <w:t xml:space="preserve">La </w:t>
      </w:r>
      <w:r w:rsidR="00837AA5">
        <w:rPr>
          <w:rFonts w:ascii="Verdana" w:hAnsi="Verdana"/>
          <w:sz w:val="22"/>
          <w:szCs w:val="22"/>
        </w:rPr>
        <w:t>t</w:t>
      </w:r>
      <w:r w:rsidRPr="005A745D">
        <w:rPr>
          <w:rFonts w:ascii="Verdana" w:hAnsi="Verdana"/>
          <w:sz w:val="22"/>
          <w:szCs w:val="22"/>
        </w:rPr>
        <w:t>abla 2 presenta los años al vencimiento de los TES que cumplieron con estos criterios, basándose en los datos de transacciones realizadas el tercer miércoles de cada mes durante los años 2019</w:t>
      </w:r>
      <w:r w:rsidRPr="005A745D">
        <w:rPr>
          <w:rStyle w:val="Refdenotaalpie"/>
          <w:rFonts w:ascii="Verdana" w:hAnsi="Verdana"/>
          <w:sz w:val="22"/>
          <w:szCs w:val="22"/>
        </w:rPr>
        <w:footnoteReference w:id="3"/>
      </w:r>
      <w:r w:rsidRPr="005A745D">
        <w:rPr>
          <w:rFonts w:ascii="Verdana" w:hAnsi="Verdana"/>
          <w:sz w:val="22"/>
          <w:szCs w:val="22"/>
        </w:rPr>
        <w:t>, 2020 y 2024. Este análisis permitió identificar el comportamiento del mercado antes, durante y después de la pandemia, proporcionando una visión comparativa de su desempeño en estos periodos.</w:t>
      </w:r>
    </w:p>
    <w:p w14:paraId="4E40475F" w14:textId="77777777" w:rsidR="005A745D" w:rsidRPr="005A745D" w:rsidRDefault="005A745D" w:rsidP="005A745D">
      <w:pPr>
        <w:jc w:val="both"/>
        <w:rPr>
          <w:rFonts w:ascii="Verdana" w:hAnsi="Verdana"/>
          <w:sz w:val="22"/>
          <w:szCs w:val="22"/>
        </w:rPr>
      </w:pPr>
    </w:p>
    <w:p w14:paraId="12FEF642" w14:textId="702F73C8" w:rsidR="005A745D" w:rsidRPr="005A745D" w:rsidRDefault="005A745D" w:rsidP="005A745D">
      <w:pPr>
        <w:jc w:val="both"/>
        <w:rPr>
          <w:rFonts w:ascii="Verdana" w:hAnsi="Verdana"/>
          <w:sz w:val="22"/>
          <w:szCs w:val="22"/>
        </w:rPr>
      </w:pPr>
      <w:r w:rsidRPr="005A745D">
        <w:rPr>
          <w:rFonts w:ascii="Verdana" w:hAnsi="Verdana"/>
          <w:sz w:val="22"/>
          <w:szCs w:val="22"/>
        </w:rPr>
        <w:t>A modo de ejemplo (ver tabla 2)</w:t>
      </w:r>
      <w:r w:rsidR="00837AA5">
        <w:rPr>
          <w:rFonts w:ascii="Verdana" w:hAnsi="Verdana"/>
          <w:sz w:val="22"/>
          <w:szCs w:val="22"/>
        </w:rPr>
        <w:t>,</w:t>
      </w:r>
      <w:r w:rsidRPr="005A745D">
        <w:rPr>
          <w:rFonts w:ascii="Verdana" w:hAnsi="Verdana"/>
          <w:sz w:val="22"/>
          <w:szCs w:val="22"/>
        </w:rPr>
        <w:t xml:space="preserve"> en el caso de los TES en UVR para enero de 2019 el nodo con mayor porcentaje de participación en monto fue el nodo 4; mientras que el nodo con mayor porcentaje de participación por número de operaciones fue el 16.</w:t>
      </w:r>
    </w:p>
    <w:p w14:paraId="5A3A0749" w14:textId="77777777" w:rsidR="005A745D" w:rsidRPr="005A745D" w:rsidRDefault="005A745D" w:rsidP="005A745D">
      <w:pPr>
        <w:jc w:val="both"/>
        <w:rPr>
          <w:rFonts w:ascii="Verdana" w:hAnsi="Verdana"/>
          <w:sz w:val="22"/>
          <w:szCs w:val="22"/>
        </w:rPr>
      </w:pPr>
    </w:p>
    <w:p w14:paraId="7F365608" w14:textId="77777777" w:rsidR="005A745D" w:rsidRDefault="005A745D" w:rsidP="005A745D">
      <w:pPr>
        <w:pStyle w:val="Descripcin"/>
        <w:jc w:val="center"/>
        <w:rPr>
          <w:rFonts w:ascii="Verdana" w:hAnsi="Verdana"/>
          <w:b/>
          <w:bCs/>
          <w:i w:val="0"/>
          <w:iCs w:val="0"/>
          <w:color w:val="auto"/>
          <w:sz w:val="22"/>
          <w:szCs w:val="22"/>
        </w:rPr>
      </w:pPr>
      <w:r w:rsidRPr="005A745D">
        <w:rPr>
          <w:rFonts w:ascii="Verdana" w:hAnsi="Verdana"/>
          <w:b/>
          <w:bCs/>
          <w:i w:val="0"/>
          <w:iCs w:val="0"/>
          <w:color w:val="auto"/>
          <w:sz w:val="22"/>
          <w:szCs w:val="22"/>
        </w:rPr>
        <w:t xml:space="preserve">Tabla </w:t>
      </w:r>
      <w:r w:rsidRPr="005A745D">
        <w:rPr>
          <w:rFonts w:ascii="Verdana" w:hAnsi="Verdana"/>
          <w:b/>
          <w:bCs/>
          <w:i w:val="0"/>
          <w:iCs w:val="0"/>
          <w:color w:val="auto"/>
          <w:sz w:val="22"/>
          <w:szCs w:val="22"/>
        </w:rPr>
        <w:fldChar w:fldCharType="begin"/>
      </w:r>
      <w:r w:rsidRPr="005A745D">
        <w:rPr>
          <w:rFonts w:ascii="Verdana" w:hAnsi="Verdana"/>
          <w:b/>
          <w:bCs/>
          <w:i w:val="0"/>
          <w:iCs w:val="0"/>
          <w:color w:val="auto"/>
          <w:sz w:val="22"/>
          <w:szCs w:val="22"/>
        </w:rPr>
        <w:instrText xml:space="preserve"> SEQ Tabla \* ARABIC </w:instrText>
      </w:r>
      <w:r w:rsidRPr="005A745D">
        <w:rPr>
          <w:rFonts w:ascii="Verdana" w:hAnsi="Verdana"/>
          <w:b/>
          <w:bCs/>
          <w:i w:val="0"/>
          <w:iCs w:val="0"/>
          <w:color w:val="auto"/>
          <w:sz w:val="22"/>
          <w:szCs w:val="22"/>
        </w:rPr>
        <w:fldChar w:fldCharType="separate"/>
      </w:r>
      <w:r w:rsidRPr="005A745D">
        <w:rPr>
          <w:rFonts w:ascii="Verdana" w:hAnsi="Verdana"/>
          <w:b/>
          <w:bCs/>
          <w:i w:val="0"/>
          <w:iCs w:val="0"/>
          <w:noProof/>
          <w:color w:val="auto"/>
          <w:sz w:val="22"/>
          <w:szCs w:val="22"/>
        </w:rPr>
        <w:t>2</w:t>
      </w:r>
      <w:r w:rsidRPr="005A745D">
        <w:rPr>
          <w:rFonts w:ascii="Verdana" w:hAnsi="Verdana"/>
          <w:b/>
          <w:bCs/>
          <w:i w:val="0"/>
          <w:iCs w:val="0"/>
          <w:color w:val="auto"/>
          <w:sz w:val="22"/>
          <w:szCs w:val="22"/>
        </w:rPr>
        <w:fldChar w:fldCharType="end"/>
      </w:r>
      <w:r w:rsidRPr="005A745D">
        <w:rPr>
          <w:rFonts w:ascii="Verdana" w:hAnsi="Verdana"/>
          <w:b/>
          <w:bCs/>
          <w:i w:val="0"/>
          <w:iCs w:val="0"/>
          <w:color w:val="auto"/>
          <w:sz w:val="22"/>
          <w:szCs w:val="22"/>
        </w:rPr>
        <w:t>. Nodos representativos para 2019, 2020 y 2024</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333"/>
      </w:tblGrid>
      <w:tr w:rsidR="00C10514" w14:paraId="5E483F2C" w14:textId="77777777" w:rsidTr="000F3979">
        <w:trPr>
          <w:trHeight w:val="3482"/>
        </w:trPr>
        <w:tc>
          <w:tcPr>
            <w:tcW w:w="4284" w:type="dxa"/>
          </w:tcPr>
          <w:p w14:paraId="5A993C00" w14:textId="16D61ACF" w:rsidR="00C10514" w:rsidRDefault="000656A8" w:rsidP="00C10514">
            <w:pPr>
              <w:rPr>
                <w:lang w:val="es-ES_tradnl"/>
              </w:rPr>
            </w:pPr>
            <w:r w:rsidRPr="000656A8">
              <w:rPr>
                <w:noProof/>
                <w:lang w:val="es-CO" w:eastAsia="es-CO"/>
              </w:rPr>
              <w:drawing>
                <wp:inline distT="0" distB="0" distL="0" distR="0" wp14:anchorId="456D6F9A" wp14:editId="28FA429A">
                  <wp:extent cx="2586037" cy="2019752"/>
                  <wp:effectExtent l="0" t="0" r="5080" b="0"/>
                  <wp:docPr id="91248694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8884" cy="2021975"/>
                          </a:xfrm>
                          <a:prstGeom prst="rect">
                            <a:avLst/>
                          </a:prstGeom>
                          <a:noFill/>
                          <a:ln>
                            <a:noFill/>
                          </a:ln>
                        </pic:spPr>
                      </pic:pic>
                    </a:graphicData>
                  </a:graphic>
                </wp:inline>
              </w:drawing>
            </w:r>
          </w:p>
        </w:tc>
        <w:tc>
          <w:tcPr>
            <w:tcW w:w="4284" w:type="dxa"/>
          </w:tcPr>
          <w:p w14:paraId="439FA34B" w14:textId="2DE2890A" w:rsidR="00C10514" w:rsidRDefault="000F3979" w:rsidP="00C10514">
            <w:pPr>
              <w:rPr>
                <w:lang w:val="es-ES_tradnl"/>
              </w:rPr>
            </w:pPr>
            <w:r w:rsidRPr="000F3979">
              <w:rPr>
                <w:noProof/>
                <w:lang w:val="es-CO" w:eastAsia="es-CO"/>
              </w:rPr>
              <w:drawing>
                <wp:inline distT="0" distB="0" distL="0" distR="0" wp14:anchorId="2F8B49E6" wp14:editId="7E899869">
                  <wp:extent cx="2614612" cy="2042069"/>
                  <wp:effectExtent l="0" t="0" r="0" b="0"/>
                  <wp:docPr id="22749994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32578" cy="2056101"/>
                          </a:xfrm>
                          <a:prstGeom prst="rect">
                            <a:avLst/>
                          </a:prstGeom>
                          <a:noFill/>
                          <a:ln>
                            <a:noFill/>
                          </a:ln>
                        </pic:spPr>
                      </pic:pic>
                    </a:graphicData>
                  </a:graphic>
                </wp:inline>
              </w:drawing>
            </w:r>
          </w:p>
        </w:tc>
      </w:tr>
    </w:tbl>
    <w:p w14:paraId="30A03733" w14:textId="35EAEA35" w:rsidR="005A745D" w:rsidRPr="00C10514" w:rsidRDefault="005A745D" w:rsidP="00C10514">
      <w:pPr>
        <w:jc w:val="center"/>
        <w:rPr>
          <w:rFonts w:ascii="Verdana" w:hAnsi="Verdana"/>
          <w:sz w:val="16"/>
          <w:szCs w:val="16"/>
        </w:rPr>
      </w:pPr>
      <w:r w:rsidRPr="00C10514">
        <w:rPr>
          <w:rFonts w:ascii="Verdana" w:hAnsi="Verdana"/>
          <w:sz w:val="16"/>
          <w:szCs w:val="16"/>
        </w:rPr>
        <w:t>Fuente: SFC.</w:t>
      </w:r>
    </w:p>
    <w:p w14:paraId="296E6B57" w14:textId="77777777" w:rsidR="00837AA5" w:rsidRPr="005A745D" w:rsidRDefault="00837AA5" w:rsidP="005A745D">
      <w:pPr>
        <w:jc w:val="both"/>
        <w:rPr>
          <w:rFonts w:ascii="Verdana" w:hAnsi="Verdana"/>
          <w:sz w:val="22"/>
          <w:szCs w:val="22"/>
        </w:rPr>
      </w:pPr>
    </w:p>
    <w:p w14:paraId="7B75FF04" w14:textId="50296E2A" w:rsidR="005A745D" w:rsidRPr="005A745D" w:rsidRDefault="005A745D" w:rsidP="005A745D">
      <w:pPr>
        <w:jc w:val="both"/>
        <w:rPr>
          <w:rFonts w:ascii="Verdana" w:hAnsi="Verdana"/>
          <w:sz w:val="22"/>
          <w:szCs w:val="22"/>
        </w:rPr>
      </w:pPr>
      <w:r w:rsidRPr="005A745D">
        <w:rPr>
          <w:rFonts w:ascii="Verdana" w:hAnsi="Verdana"/>
          <w:sz w:val="22"/>
          <w:szCs w:val="22"/>
        </w:rPr>
        <w:lastRenderedPageBreak/>
        <w:t>Como se observa en la tabla 2</w:t>
      </w:r>
      <w:r w:rsidR="00837AA5">
        <w:rPr>
          <w:rFonts w:ascii="Verdana" w:hAnsi="Verdana"/>
          <w:sz w:val="22"/>
          <w:szCs w:val="22"/>
        </w:rPr>
        <w:t>,</w:t>
      </w:r>
      <w:r w:rsidRPr="005A745D">
        <w:rPr>
          <w:rFonts w:ascii="Verdana" w:hAnsi="Verdana"/>
          <w:sz w:val="22"/>
          <w:szCs w:val="22"/>
        </w:rPr>
        <w:t xml:space="preserve"> el mercado de TES en pesos no </w:t>
      </w:r>
      <w:r w:rsidR="00837AA5">
        <w:rPr>
          <w:rFonts w:ascii="Verdana" w:hAnsi="Verdana"/>
          <w:sz w:val="22"/>
          <w:szCs w:val="22"/>
        </w:rPr>
        <w:t>muestra</w:t>
      </w:r>
      <w:r w:rsidR="00837AA5" w:rsidRPr="005A745D">
        <w:rPr>
          <w:rFonts w:ascii="Verdana" w:hAnsi="Verdana"/>
          <w:sz w:val="22"/>
          <w:szCs w:val="22"/>
        </w:rPr>
        <w:t xml:space="preserve"> </w:t>
      </w:r>
      <w:r w:rsidRPr="005A745D">
        <w:rPr>
          <w:rFonts w:ascii="Verdana" w:hAnsi="Verdana"/>
          <w:sz w:val="22"/>
          <w:szCs w:val="22"/>
        </w:rPr>
        <w:t>las características de un mercado PLT</w:t>
      </w:r>
      <w:r w:rsidR="00837AA5">
        <w:rPr>
          <w:rFonts w:ascii="Verdana" w:hAnsi="Verdana"/>
          <w:sz w:val="22"/>
          <w:szCs w:val="22"/>
        </w:rPr>
        <w:t>. E</w:t>
      </w:r>
      <w:r w:rsidRPr="005A745D">
        <w:rPr>
          <w:rFonts w:ascii="Verdana" w:hAnsi="Verdana"/>
          <w:sz w:val="22"/>
          <w:szCs w:val="22"/>
        </w:rPr>
        <w:t xml:space="preserve">n </w:t>
      </w:r>
      <w:r w:rsidR="00837AA5">
        <w:rPr>
          <w:rFonts w:ascii="Verdana" w:hAnsi="Verdana"/>
          <w:sz w:val="22"/>
          <w:szCs w:val="22"/>
        </w:rPr>
        <w:t xml:space="preserve">relación con </w:t>
      </w:r>
      <w:r w:rsidRPr="005A745D">
        <w:rPr>
          <w:rFonts w:ascii="Verdana" w:hAnsi="Verdana"/>
          <w:sz w:val="22"/>
          <w:szCs w:val="22"/>
        </w:rPr>
        <w:t>la profundidad</w:t>
      </w:r>
      <w:r w:rsidRPr="005A745D">
        <w:rPr>
          <w:rStyle w:val="Refdenotaalpie"/>
          <w:rFonts w:ascii="Verdana" w:hAnsi="Verdana"/>
          <w:sz w:val="22"/>
          <w:szCs w:val="22"/>
        </w:rPr>
        <w:footnoteReference w:id="4"/>
      </w:r>
      <w:r w:rsidRPr="005A745D">
        <w:rPr>
          <w:rFonts w:ascii="Verdana" w:hAnsi="Verdana"/>
          <w:sz w:val="22"/>
          <w:szCs w:val="22"/>
        </w:rPr>
        <w:t xml:space="preserve">, se identificaron concentraciones en los años al vencimiento 5, 4 y </w:t>
      </w:r>
      <w:r w:rsidRPr="001E63A5">
        <w:rPr>
          <w:rFonts w:ascii="Verdana" w:hAnsi="Verdana"/>
          <w:sz w:val="22"/>
          <w:szCs w:val="22"/>
        </w:rPr>
        <w:t>18 (</w:t>
      </w:r>
      <w:r w:rsidR="001E63A5" w:rsidRPr="001E63A5">
        <w:rPr>
          <w:rFonts w:ascii="Verdana" w:hAnsi="Verdana"/>
          <w:sz w:val="22"/>
          <w:szCs w:val="22"/>
        </w:rPr>
        <w:t>moda</w:t>
      </w:r>
      <w:r w:rsidRPr="001E63A5">
        <w:rPr>
          <w:rFonts w:ascii="Verdana" w:hAnsi="Verdana"/>
          <w:sz w:val="22"/>
          <w:szCs w:val="22"/>
        </w:rPr>
        <w:t>)</w:t>
      </w:r>
      <w:r w:rsidRPr="005A745D">
        <w:rPr>
          <w:rFonts w:ascii="Verdana" w:hAnsi="Verdana"/>
          <w:sz w:val="22"/>
          <w:szCs w:val="22"/>
        </w:rPr>
        <w:t xml:space="preserve"> en 2019, 2020 y 2024, respectivamente. Aunque estas concentraciones podrían indicar profundidad en algunos casos, en este análisis limitaron la diversidad de la curva de rendimientos, restringiendo la actividad en otros vencimientos. Esto afectó negativamente la liquidez del mercado lo que a su vez dificulta las extrapolaciones de tasas de interés a largo plazo.</w:t>
      </w:r>
    </w:p>
    <w:p w14:paraId="78C53589"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  </w:t>
      </w:r>
    </w:p>
    <w:p w14:paraId="40A3B6FD" w14:textId="77777777" w:rsidR="005A745D" w:rsidRPr="005A745D" w:rsidRDefault="005A745D" w:rsidP="005A745D">
      <w:pPr>
        <w:jc w:val="both"/>
        <w:rPr>
          <w:rFonts w:ascii="Verdana" w:hAnsi="Verdana"/>
          <w:sz w:val="22"/>
          <w:szCs w:val="22"/>
        </w:rPr>
      </w:pPr>
      <w:r w:rsidRPr="005A745D">
        <w:rPr>
          <w:rFonts w:ascii="Verdana" w:hAnsi="Verdana"/>
          <w:sz w:val="22"/>
          <w:szCs w:val="22"/>
        </w:rPr>
        <w:t>Por su parte, el mercado de TES en UVR mostró características diferentes. En 2019, se presentó mayor liquidez durante los periodos de vencimiento, lo que refleja un comportamiento más equilibrado en términos de actividad. Sin embargo, en 2020 y 2024, la actividad se redujo drásticamente, concentrándose en vencimientos específicos (profundidad), lo que disminuyó la capacidad del mercado para facilitar transacciones rápidas (liquidez). Adicionalmente, en ciertos vencimientos no se cumplieron los criterios mínimos de proporción de operaciones, montos transados y spread para un vencimiento específico</w:t>
      </w:r>
      <w:r w:rsidRPr="005A745D">
        <w:rPr>
          <w:rStyle w:val="Refdenotaalpie"/>
          <w:rFonts w:ascii="Verdana" w:hAnsi="Verdana"/>
          <w:sz w:val="22"/>
          <w:szCs w:val="22"/>
        </w:rPr>
        <w:footnoteReference w:id="5"/>
      </w:r>
      <w:r w:rsidRPr="005A745D">
        <w:rPr>
          <w:rFonts w:ascii="Verdana" w:hAnsi="Verdana"/>
          <w:sz w:val="22"/>
          <w:szCs w:val="22"/>
        </w:rPr>
        <w:t>. Estas características limitaron la clasificación del mercado de TES en UVR como PLT.</w:t>
      </w:r>
    </w:p>
    <w:p w14:paraId="63AFE93D" w14:textId="77777777" w:rsidR="005A745D" w:rsidRPr="005A745D" w:rsidRDefault="005A745D" w:rsidP="005A745D">
      <w:pPr>
        <w:jc w:val="both"/>
        <w:rPr>
          <w:rFonts w:ascii="Verdana" w:hAnsi="Verdana"/>
          <w:sz w:val="22"/>
          <w:szCs w:val="22"/>
        </w:rPr>
      </w:pPr>
    </w:p>
    <w:p w14:paraId="6E93C77D"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Como resultado, ninguno de los mercados analizados, cumplió con los criterios necesarios para ser clasificados como PLT de manera consistente. Las restricciones observadas en la profundidad y liquidez conducen a un UPL corto en ambos casos, lo que imposibilita su utilización adecuada en la extrapolación de tasas de interés libre de riesgo a largo plazo. </w:t>
      </w:r>
    </w:p>
    <w:p w14:paraId="3658E9B1" w14:textId="77777777" w:rsidR="005A745D" w:rsidRPr="005A745D" w:rsidRDefault="005A745D" w:rsidP="005A745D">
      <w:pPr>
        <w:jc w:val="both"/>
        <w:rPr>
          <w:rFonts w:ascii="Verdana" w:hAnsi="Verdana"/>
          <w:sz w:val="22"/>
          <w:szCs w:val="22"/>
        </w:rPr>
      </w:pPr>
    </w:p>
    <w:p w14:paraId="0C09F8B5" w14:textId="309CE4B4" w:rsidR="005A745D" w:rsidRDefault="005A745D" w:rsidP="005A745D">
      <w:pPr>
        <w:jc w:val="both"/>
        <w:rPr>
          <w:rFonts w:ascii="Verdana" w:hAnsi="Verdana"/>
          <w:sz w:val="22"/>
          <w:szCs w:val="22"/>
        </w:rPr>
      </w:pPr>
      <w:r w:rsidRPr="005A745D">
        <w:rPr>
          <w:rFonts w:ascii="Verdana" w:hAnsi="Verdana"/>
          <w:sz w:val="22"/>
          <w:szCs w:val="22"/>
        </w:rPr>
        <w:t xml:space="preserve">Además, es importante resaltar que EIOPA (2023), basándose en información de los años 2016, 2021, 2022 y 2023, concluyó que Colombia no es un mercado PLT y estableció un UPL de 10 años. En </w:t>
      </w:r>
      <w:r w:rsidR="00646468">
        <w:rPr>
          <w:rFonts w:ascii="Verdana" w:hAnsi="Verdana"/>
          <w:sz w:val="22"/>
          <w:szCs w:val="22"/>
        </w:rPr>
        <w:t>consecuencia</w:t>
      </w:r>
      <w:r w:rsidRPr="005A745D">
        <w:rPr>
          <w:rFonts w:ascii="Verdana" w:hAnsi="Verdana"/>
          <w:sz w:val="22"/>
          <w:szCs w:val="22"/>
        </w:rPr>
        <w:t>, considerando las limitaciones evidenciadas en este documento se propone definir el UPL como el plazo al vencimiento del último TES UVR y del TES en pesos disponible en el mercado colombiano. Bajo este enfoque se busca garantizar que el cálculo de las tasas de interés esté basado en datos coherentes y representativos del mercado.</w:t>
      </w:r>
    </w:p>
    <w:p w14:paraId="7596DD37" w14:textId="77777777" w:rsidR="005A745D" w:rsidRPr="005A745D" w:rsidRDefault="005A745D" w:rsidP="005A745D">
      <w:pPr>
        <w:jc w:val="both"/>
        <w:rPr>
          <w:rFonts w:ascii="Verdana" w:hAnsi="Verdana"/>
          <w:sz w:val="22"/>
          <w:szCs w:val="22"/>
        </w:rPr>
      </w:pPr>
    </w:p>
    <w:p w14:paraId="37B1804A" w14:textId="77777777" w:rsidR="005A745D" w:rsidRPr="005A745D" w:rsidRDefault="005A745D" w:rsidP="005A745D">
      <w:pPr>
        <w:pStyle w:val="Prrafodelista"/>
        <w:numPr>
          <w:ilvl w:val="1"/>
          <w:numId w:val="3"/>
        </w:numPr>
        <w:spacing w:line="278" w:lineRule="auto"/>
        <w:rPr>
          <w:rFonts w:ascii="Verdana" w:hAnsi="Verdana"/>
          <w:b/>
          <w:bCs/>
          <w:color w:val="1778BD"/>
        </w:rPr>
      </w:pPr>
      <w:r w:rsidRPr="005A745D">
        <w:rPr>
          <w:rFonts w:ascii="Verdana" w:hAnsi="Verdana"/>
          <w:b/>
          <w:bCs/>
          <w:color w:val="1778BD"/>
        </w:rPr>
        <w:t>Interpolación y extrapolación de la estructura de tasas</w:t>
      </w:r>
    </w:p>
    <w:p w14:paraId="2F9373B8" w14:textId="5D100FBA" w:rsidR="005A745D" w:rsidRPr="005A745D" w:rsidRDefault="005A745D" w:rsidP="005A745D">
      <w:pPr>
        <w:jc w:val="both"/>
        <w:rPr>
          <w:rFonts w:ascii="Verdana" w:hAnsi="Verdana"/>
          <w:sz w:val="22"/>
          <w:szCs w:val="22"/>
          <w:lang w:val="es-CO"/>
        </w:rPr>
      </w:pPr>
      <w:r w:rsidRPr="005A745D">
        <w:rPr>
          <w:rFonts w:ascii="Verdana" w:hAnsi="Verdana"/>
          <w:sz w:val="22"/>
          <w:szCs w:val="22"/>
        </w:rPr>
        <w:t xml:space="preserve">El propósito de interpolar y extrapolar curvas de tasas de interés en el marco de Solvencia II </w:t>
      </w:r>
      <w:r w:rsidR="00646468">
        <w:rPr>
          <w:rFonts w:ascii="Verdana" w:hAnsi="Verdana"/>
          <w:sz w:val="22"/>
          <w:szCs w:val="22"/>
        </w:rPr>
        <w:t>es</w:t>
      </w:r>
      <w:r w:rsidRPr="005A745D">
        <w:rPr>
          <w:rFonts w:ascii="Verdana" w:hAnsi="Verdana"/>
          <w:sz w:val="22"/>
          <w:szCs w:val="22"/>
        </w:rPr>
        <w:t xml:space="preserve"> garantizar una valoración adecuada de los pasivos de las aseguradoras, proporcionando una curva de rendimientos libre de riesgo que permita calcular el valor presente de los flujos de efectivo futuros asociados a las obligaciones contractuales</w:t>
      </w:r>
      <w:r w:rsidRPr="005A745D">
        <w:rPr>
          <w:rFonts w:ascii="Verdana" w:hAnsi="Verdana"/>
          <w:noProof/>
          <w:sz w:val="22"/>
          <w:szCs w:val="22"/>
          <w:lang w:val="es-MX"/>
        </w:rPr>
        <w:t xml:space="preserve"> </w:t>
      </w:r>
      <w:r w:rsidRPr="005A745D">
        <w:rPr>
          <w:rFonts w:ascii="Verdana" w:hAnsi="Verdana"/>
          <w:noProof/>
          <w:sz w:val="22"/>
          <w:szCs w:val="22"/>
          <w:lang w:val="es-CO"/>
        </w:rPr>
        <w:t>(EIOPA, 2023).</w:t>
      </w:r>
    </w:p>
    <w:p w14:paraId="46CB35B5" w14:textId="77777777" w:rsidR="005A745D" w:rsidRPr="005A745D" w:rsidRDefault="005A745D" w:rsidP="005A745D">
      <w:pPr>
        <w:jc w:val="both"/>
        <w:rPr>
          <w:rFonts w:ascii="Verdana" w:hAnsi="Verdana"/>
          <w:sz w:val="22"/>
          <w:szCs w:val="22"/>
          <w:lang w:val="es-CO"/>
        </w:rPr>
      </w:pPr>
    </w:p>
    <w:p w14:paraId="7CD82EC0" w14:textId="77777777" w:rsidR="005A745D" w:rsidRPr="005A745D" w:rsidRDefault="005A745D" w:rsidP="005A745D">
      <w:pPr>
        <w:jc w:val="both"/>
        <w:rPr>
          <w:rFonts w:ascii="Verdana" w:hAnsi="Verdana"/>
          <w:sz w:val="22"/>
          <w:szCs w:val="22"/>
        </w:rPr>
      </w:pPr>
      <w:r w:rsidRPr="005A745D">
        <w:rPr>
          <w:rFonts w:ascii="Verdana" w:hAnsi="Verdana"/>
          <w:sz w:val="22"/>
          <w:szCs w:val="22"/>
        </w:rPr>
        <w:t>En este caso, para la interpolación de los plazos de la curva de rendimientos en los que hay títulos líquidos se empleó el método de Nelson &amp; Siegel, dado que esta es la metodología usada tradicionalmente por parte de los proveedores de precios para la determinación de las curvas de valoración. Sin embargo, para la extrapolación de los plazos posteriores al UPL, se recurrió al método de Smith-Wilson, el cual permite incluir de forma exógena una tasa de convergencia en el largo plazo (</w:t>
      </w:r>
      <w:bookmarkStart w:id="1" w:name="_Hlk192516559"/>
      <w:r w:rsidRPr="005A745D">
        <w:rPr>
          <w:rFonts w:ascii="Verdana" w:hAnsi="Verdana"/>
          <w:sz w:val="22"/>
          <w:szCs w:val="22"/>
        </w:rPr>
        <w:t xml:space="preserve">tasa de interés forward de largo plazo o UFR </w:t>
      </w:r>
      <w:bookmarkEnd w:id="1"/>
      <w:r w:rsidRPr="005A745D">
        <w:rPr>
          <w:rFonts w:ascii="Verdana" w:hAnsi="Verdana"/>
          <w:sz w:val="22"/>
          <w:szCs w:val="22"/>
        </w:rPr>
        <w:t>por sus siglas en inglés). Este enfoque va en línea con el marco de Solvencia II, ya que no solo asegura una transición “suave” hacia el horizonte a largo plazo, sino que también garantiza la consistencia regulatoria al incorporar tasas acordes con los parámetros establecidos por EIOPA.</w:t>
      </w:r>
    </w:p>
    <w:p w14:paraId="0C867F54" w14:textId="77777777" w:rsidR="005A745D" w:rsidRPr="005A745D" w:rsidRDefault="005A745D" w:rsidP="005A745D">
      <w:pPr>
        <w:jc w:val="both"/>
        <w:rPr>
          <w:rFonts w:ascii="Verdana" w:hAnsi="Verdana"/>
          <w:sz w:val="22"/>
          <w:szCs w:val="22"/>
        </w:rPr>
      </w:pPr>
    </w:p>
    <w:p w14:paraId="1ECF6B7F"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Asimismo, dada la ausencia de información de mercado en el largo plazo, el método de Smith-Wilson responde a la necesidad de proporcionar una valoración robusta y estable para los flujos de efectivo futuros, evitando sesgos. Además, esta metodología refuerza la capacidad de las curvas de descuento para ajustarse tanto a las condiciones de mercado como a las regulaciones vigentes (González &amp; Sánchez, 2021). </w:t>
      </w:r>
    </w:p>
    <w:p w14:paraId="165BA089" w14:textId="77777777" w:rsidR="005A745D" w:rsidRPr="005A745D" w:rsidRDefault="005A745D" w:rsidP="005A745D">
      <w:pPr>
        <w:jc w:val="both"/>
        <w:rPr>
          <w:rFonts w:ascii="Verdana" w:hAnsi="Verdana"/>
          <w:sz w:val="22"/>
          <w:szCs w:val="22"/>
          <w:lang w:val="es-CO"/>
        </w:rPr>
      </w:pPr>
    </w:p>
    <w:p w14:paraId="542A607D" w14:textId="77777777" w:rsidR="005A745D" w:rsidRPr="005A745D" w:rsidRDefault="005A745D" w:rsidP="005A745D">
      <w:pPr>
        <w:jc w:val="both"/>
        <w:rPr>
          <w:rFonts w:ascii="Verdana" w:hAnsi="Verdana"/>
          <w:sz w:val="22"/>
          <w:szCs w:val="22"/>
          <w:u w:val="single"/>
        </w:rPr>
      </w:pPr>
      <w:r w:rsidRPr="005A745D">
        <w:rPr>
          <w:rFonts w:ascii="Verdana" w:hAnsi="Verdana"/>
          <w:sz w:val="22"/>
          <w:szCs w:val="22"/>
          <w:u w:val="single"/>
        </w:rPr>
        <w:t>Metodología Nelson &amp; Siegel</w:t>
      </w:r>
    </w:p>
    <w:p w14:paraId="78C48881" w14:textId="77777777" w:rsidR="005A745D" w:rsidRPr="005A745D" w:rsidRDefault="005A745D" w:rsidP="005A745D">
      <w:pPr>
        <w:jc w:val="both"/>
        <w:rPr>
          <w:rFonts w:ascii="Verdana" w:hAnsi="Verdana"/>
          <w:sz w:val="22"/>
          <w:szCs w:val="22"/>
          <w:u w:val="single"/>
        </w:rPr>
      </w:pPr>
    </w:p>
    <w:p w14:paraId="26B5A8B0"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Es un modelo funcional paramétrico, en el cual se describe el comportamiento de los tipos de interés forward. Se basa en un desarrollo propuesto por Nelson y Siegel (1987), a partir de una combinación inicial de valores de cuatro parámetros a estimar y aplicando mínimos cuadrados no lineales para obtener resultados que minimizan la suma de los cuadrados de los residuos. </w:t>
      </w:r>
    </w:p>
    <w:p w14:paraId="22152A1A" w14:textId="77777777" w:rsidR="005A745D" w:rsidRPr="005A745D" w:rsidRDefault="005A745D" w:rsidP="005A745D">
      <w:pPr>
        <w:jc w:val="both"/>
        <w:rPr>
          <w:rFonts w:ascii="Verdana" w:hAnsi="Verdana"/>
          <w:sz w:val="22"/>
          <w:szCs w:val="22"/>
        </w:rPr>
      </w:pPr>
    </w:p>
    <w:p w14:paraId="20FCE9D6" w14:textId="4B3BFE62" w:rsidR="005A745D" w:rsidRPr="005A745D" w:rsidRDefault="005A745D" w:rsidP="005A745D">
      <w:pPr>
        <w:jc w:val="both"/>
        <w:rPr>
          <w:rFonts w:ascii="Verdana" w:hAnsi="Verdana"/>
          <w:sz w:val="22"/>
          <w:szCs w:val="22"/>
        </w:rPr>
      </w:pPr>
      <w:r w:rsidRPr="005A745D">
        <w:rPr>
          <w:rFonts w:ascii="Verdana" w:hAnsi="Verdana"/>
          <w:sz w:val="22"/>
          <w:szCs w:val="22"/>
        </w:rPr>
        <w:t>En la práctica, la combinación inicial de parámetros se hace coincidir con la estimada. De esta forma se asegura que la combinación resultante no diferirá en exceso de la del día anterior. Otra ventaja de este modelo es que los tres sumandos de la ecuación de los tipos de interés se pueden interpretar como nivel, pendiente y curvatura. Así mismo, se debe tener en cuenta que combinaciones muy diferentes de los cuatro parámetros proporcionan curvas prácticamente idénticas</w:t>
      </w:r>
      <w:sdt>
        <w:sdtPr>
          <w:rPr>
            <w:rFonts w:ascii="Verdana" w:hAnsi="Verdana"/>
            <w:sz w:val="22"/>
            <w:szCs w:val="22"/>
          </w:rPr>
          <w:id w:val="539640537"/>
          <w:citation/>
        </w:sdtPr>
        <w:sdtContent>
          <w:r w:rsidRPr="005A745D">
            <w:rPr>
              <w:rFonts w:ascii="Verdana" w:hAnsi="Verdana"/>
              <w:sz w:val="22"/>
              <w:szCs w:val="22"/>
            </w:rPr>
            <w:fldChar w:fldCharType="begin"/>
          </w:r>
          <w:r w:rsidRPr="005A745D">
            <w:rPr>
              <w:rFonts w:ascii="Verdana" w:hAnsi="Verdana"/>
              <w:sz w:val="22"/>
              <w:szCs w:val="22"/>
              <w:lang w:val="es-MX"/>
            </w:rPr>
            <w:instrText xml:space="preserve"> CITATION Jua08 \l 2058 </w:instrText>
          </w:r>
          <w:r w:rsidRPr="005A745D">
            <w:rPr>
              <w:rFonts w:ascii="Verdana" w:hAnsi="Verdana"/>
              <w:sz w:val="22"/>
              <w:szCs w:val="22"/>
            </w:rPr>
            <w:fldChar w:fldCharType="separate"/>
          </w:r>
          <w:r w:rsidR="009A5872">
            <w:rPr>
              <w:rFonts w:ascii="Verdana" w:hAnsi="Verdana"/>
              <w:noProof/>
              <w:sz w:val="22"/>
              <w:szCs w:val="22"/>
              <w:lang w:val="es-MX"/>
            </w:rPr>
            <w:t xml:space="preserve"> </w:t>
          </w:r>
          <w:r w:rsidR="009A5872" w:rsidRPr="009A5872">
            <w:rPr>
              <w:rFonts w:ascii="Verdana" w:hAnsi="Verdana"/>
              <w:noProof/>
              <w:sz w:val="22"/>
              <w:szCs w:val="22"/>
              <w:lang w:val="es-MX"/>
            </w:rPr>
            <w:t>(Santana, 2008)</w:t>
          </w:r>
          <w:r w:rsidRPr="005A745D">
            <w:rPr>
              <w:rFonts w:ascii="Verdana" w:hAnsi="Verdana"/>
              <w:sz w:val="22"/>
              <w:szCs w:val="22"/>
            </w:rPr>
            <w:fldChar w:fldCharType="end"/>
          </w:r>
        </w:sdtContent>
      </w:sdt>
      <w:r w:rsidRPr="005A745D">
        <w:rPr>
          <w:rFonts w:ascii="Verdana" w:hAnsi="Verdana"/>
          <w:sz w:val="22"/>
          <w:szCs w:val="22"/>
        </w:rPr>
        <w:t>.</w:t>
      </w:r>
    </w:p>
    <w:p w14:paraId="21A367AC" w14:textId="77777777" w:rsidR="005A745D" w:rsidRPr="005A745D" w:rsidRDefault="005A745D" w:rsidP="005A745D">
      <w:pPr>
        <w:jc w:val="both"/>
        <w:rPr>
          <w:rFonts w:ascii="Verdana" w:hAnsi="Verdana"/>
          <w:sz w:val="22"/>
          <w:szCs w:val="22"/>
        </w:rPr>
      </w:pPr>
    </w:p>
    <w:p w14:paraId="14CCFC6A"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Los cuatro parámetros son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w:rPr>
            <w:rFonts w:ascii="Cambria Math" w:hAnsi="Cambria Math"/>
            <w:sz w:val="22"/>
            <w:szCs w:val="22"/>
          </w:rPr>
          <m:t xml:space="preserve"> y τ</m:t>
        </m:r>
      </m:oMath>
      <w:r w:rsidRPr="005A745D">
        <w:rPr>
          <w:rFonts w:ascii="Verdana" w:hAnsi="Verdana"/>
          <w:sz w:val="22"/>
          <w:szCs w:val="22"/>
        </w:rPr>
        <w:t>. La expresión paramétrica propuesta por Nelson y Siegel (1987) que describe las tasas forward es:</w:t>
      </w:r>
    </w:p>
    <w:p w14:paraId="16FC3A90" w14:textId="77777777" w:rsidR="005A745D" w:rsidRPr="005A745D" w:rsidRDefault="005A745D" w:rsidP="005A745D">
      <w:pPr>
        <w:jc w:val="both"/>
        <w:rPr>
          <w:rFonts w:ascii="Verdana" w:hAnsi="Verdana"/>
          <w:sz w:val="22"/>
          <w:szCs w:val="22"/>
        </w:rPr>
      </w:pPr>
    </w:p>
    <w:p w14:paraId="655F67CC" w14:textId="77777777" w:rsidR="005A745D" w:rsidRPr="005A745D" w:rsidRDefault="005A745D" w:rsidP="005A745D">
      <w:pPr>
        <w:jc w:val="both"/>
        <w:rPr>
          <w:rFonts w:ascii="Verdana" w:hAnsi="Verdana"/>
          <w:sz w:val="22"/>
          <w:szCs w:val="22"/>
        </w:rPr>
      </w:pPr>
      <m:oMathPara>
        <m:oMath>
          <m:r>
            <w:rPr>
              <w:rFonts w:ascii="Cambria Math" w:hAnsi="Cambria Math"/>
              <w:sz w:val="22"/>
              <w:szCs w:val="22"/>
            </w:rPr>
            <m:t>f</m:t>
          </m:r>
          <m:d>
            <m:dPr>
              <m:ctrlPr>
                <w:rPr>
                  <w:rFonts w:ascii="Cambria Math" w:hAnsi="Cambria Math"/>
                  <w:i/>
                  <w:sz w:val="22"/>
                  <w:szCs w:val="22"/>
                </w:rPr>
              </m:ctrlPr>
            </m:dPr>
            <m:e>
              <m:r>
                <w:rPr>
                  <w:rFonts w:ascii="Cambria Math" w:hAnsi="Cambria Math"/>
                  <w:sz w:val="22"/>
                  <w:szCs w:val="22"/>
                </w:rPr>
                <m:t>m</m:t>
              </m:r>
            </m:e>
          </m:d>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w:rPr>
              <w:rFonts w:ascii="Cambria Math" w:hAnsi="Cambria Math"/>
              <w:sz w:val="22"/>
              <w:szCs w:val="22"/>
            </w:rPr>
            <m:t>(m/τ)</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oMath>
      </m:oMathPara>
    </w:p>
    <w:p w14:paraId="181DF3E0" w14:textId="77777777" w:rsidR="005A745D" w:rsidRPr="005A745D" w:rsidRDefault="005A745D" w:rsidP="005A745D">
      <w:pPr>
        <w:jc w:val="both"/>
        <w:rPr>
          <w:rFonts w:ascii="Verdana" w:hAnsi="Verdana"/>
          <w:sz w:val="22"/>
          <w:szCs w:val="22"/>
        </w:rPr>
      </w:pPr>
    </w:p>
    <w:p w14:paraId="50218807" w14:textId="77777777" w:rsidR="005A745D" w:rsidRPr="005A745D" w:rsidRDefault="005A745D" w:rsidP="005A745D">
      <w:pPr>
        <w:jc w:val="both"/>
        <w:rPr>
          <w:rFonts w:ascii="Verdana" w:hAnsi="Verdana"/>
          <w:sz w:val="22"/>
          <w:szCs w:val="22"/>
        </w:rPr>
      </w:pPr>
      <w:r w:rsidRPr="005A745D">
        <w:rPr>
          <w:rFonts w:ascii="Verdana" w:hAnsi="Verdana"/>
          <w:sz w:val="22"/>
          <w:szCs w:val="22"/>
        </w:rPr>
        <w:t>donde </w:t>
      </w:r>
      <m:oMath>
        <m:r>
          <w:rPr>
            <w:rFonts w:ascii="Cambria Math" w:hAnsi="Cambria Math"/>
            <w:sz w:val="22"/>
            <w:szCs w:val="22"/>
          </w:rPr>
          <m:t>m</m:t>
        </m:r>
      </m:oMath>
      <w:r w:rsidRPr="005A745D">
        <w:rPr>
          <w:rFonts w:ascii="Verdana" w:hAnsi="Verdana"/>
          <w:sz w:val="22"/>
          <w:szCs w:val="22"/>
        </w:rPr>
        <w:t xml:space="preserve"> denota la madurez del activo y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2,t</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3,t</m:t>
            </m:r>
          </m:sub>
        </m:sSub>
        <m:r>
          <w:rPr>
            <w:rFonts w:ascii="Cambria Math" w:hAnsi="Cambria Math"/>
            <w:sz w:val="22"/>
            <w:szCs w:val="22"/>
          </w:rPr>
          <m:t xml:space="preserve"> y τ</m:t>
        </m:r>
      </m:oMath>
      <w:r w:rsidRPr="005A745D">
        <w:rPr>
          <w:rFonts w:ascii="Verdana" w:hAnsi="Verdana"/>
          <w:sz w:val="22"/>
          <w:szCs w:val="22"/>
        </w:rPr>
        <w:t xml:space="preserve"> los parámetros a ser estimados. </w:t>
      </w:r>
    </w:p>
    <w:p w14:paraId="316C6277" w14:textId="77777777" w:rsidR="005A745D" w:rsidRPr="005A745D" w:rsidRDefault="005A745D" w:rsidP="005A745D">
      <w:pPr>
        <w:jc w:val="both"/>
        <w:rPr>
          <w:rFonts w:ascii="Verdana" w:hAnsi="Verdana"/>
          <w:sz w:val="22"/>
          <w:szCs w:val="22"/>
        </w:rPr>
      </w:pPr>
    </w:p>
    <w:p w14:paraId="260A349E" w14:textId="021B1CBA" w:rsidR="005A745D" w:rsidRPr="005A745D" w:rsidRDefault="005A745D" w:rsidP="005A745D">
      <w:pPr>
        <w:jc w:val="both"/>
        <w:rPr>
          <w:rFonts w:ascii="Verdana" w:hAnsi="Verdana"/>
          <w:sz w:val="22"/>
          <w:szCs w:val="22"/>
        </w:rPr>
      </w:pPr>
      <w:r w:rsidRPr="005A745D">
        <w:rPr>
          <w:rFonts w:ascii="Verdana" w:hAnsi="Verdana"/>
          <w:sz w:val="22"/>
          <w:szCs w:val="22"/>
        </w:rPr>
        <w:lastRenderedPageBreak/>
        <w:t xml:space="preserve">La tasa a plazo tiene tres componentes: la constante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oMath>
      <w:r w:rsidRPr="005A745D">
        <w:rPr>
          <w:rFonts w:ascii="Verdana" w:hAnsi="Verdana"/>
          <w:sz w:val="22"/>
          <w:szCs w:val="22"/>
        </w:rPr>
        <w:t xml:space="preserve">, el término exponencial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oMath>
      <w:r w:rsidRPr="005A745D">
        <w:rPr>
          <w:rFonts w:ascii="Verdana" w:hAnsi="Verdana"/>
          <w:sz w:val="22"/>
          <w:szCs w:val="22"/>
        </w:rPr>
        <w:t xml:space="preserve">, el cual tiende a cero en forma monótona cuando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oMath>
      <w:r w:rsidRPr="005A745D">
        <w:rPr>
          <w:rFonts w:ascii="Verdana" w:hAnsi="Verdana"/>
          <w:sz w:val="22"/>
          <w:szCs w:val="22"/>
        </w:rPr>
        <w:t xml:space="preserve"> es positivo, y el término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w:rPr>
            <w:rFonts w:ascii="Cambria Math" w:hAnsi="Cambria Math"/>
            <w:sz w:val="22"/>
            <w:szCs w:val="22"/>
          </w:rPr>
          <m:t>(m/τ)</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oMath>
      <w:r w:rsidRPr="005A745D">
        <w:rPr>
          <w:rFonts w:ascii="Verdana" w:hAnsi="Verdana"/>
          <w:sz w:val="22"/>
          <w:szCs w:val="22"/>
        </w:rPr>
        <w:t xml:space="preserve">, que señala la forma que tendrá la curva. Por ejemplo, tendrá forma de “U” si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oMath>
      <w:r w:rsidRPr="005A745D">
        <w:rPr>
          <w:rFonts w:ascii="Verdana" w:hAnsi="Verdana"/>
          <w:sz w:val="22"/>
          <w:szCs w:val="22"/>
        </w:rPr>
        <w:t xml:space="preserve"> es negativo. Estos tres componentes se asocian al nivel, la inclinación y la curvatura del ajuste, respectivamente.</w:t>
      </w:r>
    </w:p>
    <w:p w14:paraId="70914C84" w14:textId="77777777" w:rsidR="005A745D" w:rsidRPr="005A745D" w:rsidRDefault="005A745D" w:rsidP="005A745D">
      <w:pPr>
        <w:jc w:val="both"/>
        <w:rPr>
          <w:rFonts w:ascii="Verdana" w:hAnsi="Verdana"/>
          <w:sz w:val="22"/>
          <w:szCs w:val="22"/>
        </w:rPr>
      </w:pPr>
    </w:p>
    <w:p w14:paraId="113149DC" w14:textId="77777777" w:rsidR="005A745D" w:rsidRPr="005A745D" w:rsidRDefault="005A745D" w:rsidP="005A745D">
      <w:pPr>
        <w:jc w:val="both"/>
        <w:rPr>
          <w:rFonts w:ascii="Verdana" w:hAnsi="Verdana"/>
          <w:sz w:val="22"/>
          <w:szCs w:val="22"/>
        </w:rPr>
      </w:pPr>
      <w:r w:rsidRPr="005A745D">
        <w:rPr>
          <w:rFonts w:ascii="Verdana" w:hAnsi="Verdana"/>
          <w:sz w:val="22"/>
          <w:szCs w:val="22"/>
        </w:rPr>
        <w:t>Puesto que las tasas spot pueden ser obtenidas a través de tasas forward, la ecuación que determina las tasas spot </w:t>
      </w:r>
      <m:oMath>
        <m:r>
          <w:rPr>
            <w:rFonts w:ascii="Cambria Math" w:hAnsi="Cambria Math"/>
            <w:sz w:val="22"/>
            <w:szCs w:val="22"/>
          </w:rPr>
          <m:t>s(m)</m:t>
        </m:r>
      </m:oMath>
      <w:r w:rsidRPr="005A745D">
        <w:rPr>
          <w:rFonts w:ascii="Verdana" w:hAnsi="Verdana"/>
          <w:sz w:val="22"/>
          <w:szCs w:val="22"/>
        </w:rPr>
        <w:t> de activos con madurez </w:t>
      </w:r>
      <m:oMath>
        <m:r>
          <w:rPr>
            <w:rFonts w:ascii="Cambria Math" w:hAnsi="Cambria Math"/>
            <w:sz w:val="22"/>
            <w:szCs w:val="22"/>
          </w:rPr>
          <m:t>m</m:t>
        </m:r>
      </m:oMath>
      <w:r w:rsidRPr="005A745D">
        <w:rPr>
          <w:rFonts w:ascii="Verdana" w:hAnsi="Verdana"/>
          <w:sz w:val="22"/>
          <w:szCs w:val="22"/>
        </w:rPr>
        <w:t> está dada por:</w:t>
      </w:r>
    </w:p>
    <w:p w14:paraId="2AEB3199" w14:textId="77777777" w:rsidR="005A745D" w:rsidRPr="005A745D" w:rsidRDefault="005A745D" w:rsidP="005A745D">
      <w:pPr>
        <w:jc w:val="both"/>
        <w:rPr>
          <w:rFonts w:ascii="Verdana" w:hAnsi="Verdana"/>
          <w:sz w:val="22"/>
          <w:szCs w:val="22"/>
        </w:rPr>
      </w:pPr>
    </w:p>
    <w:p w14:paraId="1BDA88A9" w14:textId="77777777" w:rsidR="005A745D" w:rsidRPr="005A745D" w:rsidRDefault="005A745D" w:rsidP="005A745D">
      <w:pPr>
        <w:jc w:val="both"/>
        <w:rPr>
          <w:rFonts w:ascii="Verdana" w:hAnsi="Verdana"/>
          <w:sz w:val="22"/>
          <w:szCs w:val="22"/>
        </w:rPr>
      </w:pPr>
      <m:oMathPara>
        <m:oMath>
          <m:r>
            <w:rPr>
              <w:rFonts w:ascii="Cambria Math" w:hAnsi="Cambria Math"/>
              <w:sz w:val="22"/>
              <w:szCs w:val="22"/>
            </w:rPr>
            <m:t>s</m:t>
          </m:r>
          <m:d>
            <m:dPr>
              <m:ctrlPr>
                <w:rPr>
                  <w:rFonts w:ascii="Cambria Math" w:hAnsi="Cambria Math"/>
                  <w:i/>
                  <w:sz w:val="22"/>
                  <w:szCs w:val="22"/>
                </w:rPr>
              </m:ctrlPr>
            </m:dPr>
            <m:e>
              <m:r>
                <w:rPr>
                  <w:rFonts w:ascii="Cambria Math" w:hAnsi="Cambria Math"/>
                  <w:sz w:val="22"/>
                  <w:szCs w:val="22"/>
                </w:rPr>
                <m:t>m</m:t>
              </m:r>
            </m:e>
          </m:d>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f>
            <m:fPr>
              <m:ctrlPr>
                <w:rPr>
                  <w:rFonts w:ascii="Cambria Math" w:hAnsi="Cambria Math"/>
                  <w:i/>
                  <w:sz w:val="22"/>
                  <w:szCs w:val="22"/>
                </w:rPr>
              </m:ctrlPr>
            </m:fPr>
            <m:num>
              <m:r>
                <w:rPr>
                  <w:rFonts w:ascii="Cambria Math" w:hAnsi="Cambria Math"/>
                  <w:sz w:val="22"/>
                  <w:szCs w:val="22"/>
                </w:rPr>
                <m:t>(1-</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r>
                <w:rPr>
                  <w:rFonts w:ascii="Cambria Math" w:hAnsi="Cambria Math"/>
                  <w:sz w:val="22"/>
                  <w:szCs w:val="22"/>
                </w:rPr>
                <m:t>)</m:t>
              </m:r>
            </m:num>
            <m:den>
              <m:r>
                <w:rPr>
                  <w:rFonts w:ascii="Cambria Math" w:hAnsi="Cambria Math"/>
                  <w:sz w:val="22"/>
                  <w:szCs w:val="22"/>
                </w:rPr>
                <m:t>(m/τ)</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w:rPr>
              <w:rFonts w:ascii="Cambria Math" w:hAnsi="Cambria Math"/>
              <w:sz w:val="22"/>
              <w:szCs w:val="22"/>
            </w:rPr>
            <m:t xml:space="preserve"> </m:t>
          </m:r>
          <m:d>
            <m:dPr>
              <m:ctrlPr>
                <w:rPr>
                  <w:rFonts w:ascii="Cambria Math" w:hAnsi="Cambria Math"/>
                  <w:i/>
                  <w:sz w:val="22"/>
                  <w:szCs w:val="22"/>
                </w:rPr>
              </m:ctrlPr>
            </m:dPr>
            <m:e>
              <m:f>
                <m:fPr>
                  <m:ctrlPr>
                    <w:rPr>
                      <w:rFonts w:ascii="Cambria Math" w:hAnsi="Cambria Math"/>
                      <w:i/>
                      <w:sz w:val="22"/>
                      <w:szCs w:val="22"/>
                    </w:rPr>
                  </m:ctrlPr>
                </m:fPr>
                <m:num>
                  <m:d>
                    <m:dPr>
                      <m:ctrlPr>
                        <w:rPr>
                          <w:rFonts w:ascii="Cambria Math" w:hAnsi="Cambria Math"/>
                          <w:i/>
                          <w:sz w:val="22"/>
                          <w:szCs w:val="22"/>
                        </w:rPr>
                      </m:ctrlPr>
                    </m:dPr>
                    <m:e>
                      <m:r>
                        <w:rPr>
                          <w:rFonts w:ascii="Cambria Math" w:hAnsi="Cambria Math"/>
                          <w:sz w:val="22"/>
                          <w:szCs w:val="22"/>
                        </w:rPr>
                        <m:t>1-</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e>
                  </m:d>
                </m:num>
                <m:den>
                  <m:r>
                    <w:rPr>
                      <w:rFonts w:ascii="Cambria Math" w:hAnsi="Cambria Math"/>
                      <w:sz w:val="22"/>
                      <w:szCs w:val="22"/>
                    </w:rPr>
                    <m:t>(m/τ)</m:t>
                  </m:r>
                </m:den>
              </m:f>
              <m:r>
                <w:rPr>
                  <w:rFonts w:ascii="Cambria Math" w:hAnsi="Cambria Math"/>
                  <w:sz w:val="22"/>
                  <w:szCs w:val="22"/>
                </w:rPr>
                <m:t xml:space="preserve">- </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e>
          </m:d>
        </m:oMath>
      </m:oMathPara>
    </w:p>
    <w:p w14:paraId="29B97936" w14:textId="77777777" w:rsidR="005A745D" w:rsidRPr="005A745D" w:rsidRDefault="005A745D" w:rsidP="005A745D">
      <w:pPr>
        <w:jc w:val="both"/>
        <w:rPr>
          <w:rFonts w:ascii="Verdana" w:hAnsi="Verdana"/>
          <w:sz w:val="22"/>
          <w:szCs w:val="22"/>
          <w:lang w:val="es-CO"/>
        </w:rPr>
      </w:pPr>
    </w:p>
    <w:p w14:paraId="4B6BE0D6" w14:textId="648DBFBE"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cuya ecuación es lineal si </w:t>
      </w:r>
      <w:r w:rsidR="00836E1A">
        <w:rPr>
          <w:rFonts w:ascii="Verdana" w:hAnsi="Verdana"/>
          <w:sz w:val="22"/>
          <w:szCs w:val="22"/>
          <w:lang w:val="es-CO"/>
        </w:rPr>
        <w:t xml:space="preserve">se </w:t>
      </w:r>
      <w:r w:rsidRPr="005A745D">
        <w:rPr>
          <w:rFonts w:ascii="Verdana" w:hAnsi="Verdana"/>
          <w:sz w:val="22"/>
          <w:szCs w:val="22"/>
          <w:lang w:val="es-CO"/>
        </w:rPr>
        <w:t xml:space="preserve">conoce </w:t>
      </w:r>
      <m:oMath>
        <m:r>
          <w:rPr>
            <w:rFonts w:ascii="Cambria Math" w:hAnsi="Cambria Math" w:cs="Cambria"/>
            <w:sz w:val="22"/>
            <w:szCs w:val="22"/>
            <w:lang w:val="es-CO"/>
          </w:rPr>
          <m:t>τ</m:t>
        </m:r>
      </m:oMath>
      <w:r w:rsidRPr="005A745D">
        <w:rPr>
          <w:rFonts w:ascii="Verdana" w:hAnsi="Verdana"/>
          <w:sz w:val="22"/>
          <w:szCs w:val="22"/>
          <w:lang w:val="es-CO"/>
        </w:rPr>
        <w:t>.</w:t>
      </w:r>
    </w:p>
    <w:p w14:paraId="049D51E1" w14:textId="77777777" w:rsidR="005A745D" w:rsidRPr="005A745D" w:rsidRDefault="005A745D" w:rsidP="005A745D">
      <w:pPr>
        <w:jc w:val="both"/>
        <w:rPr>
          <w:rFonts w:ascii="Verdana" w:hAnsi="Verdana"/>
          <w:sz w:val="22"/>
          <w:szCs w:val="22"/>
          <w:lang w:val="es-CO"/>
        </w:rPr>
      </w:pPr>
    </w:p>
    <w:p w14:paraId="225AD9F1"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El valor límite del rendimiento es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oMath>
      <w:r w:rsidRPr="005A745D">
        <w:rPr>
          <w:rFonts w:ascii="Verdana" w:hAnsi="Verdana"/>
          <w:sz w:val="22"/>
          <w:szCs w:val="22"/>
          <w:lang w:val="es-CO"/>
        </w:rPr>
        <w:t xml:space="preserve"> cuando el plazo al vencimiento </w:t>
      </w:r>
      <m:oMath>
        <m:r>
          <w:rPr>
            <w:rFonts w:ascii="Cambria Math" w:hAnsi="Cambria Math"/>
            <w:sz w:val="22"/>
            <w:szCs w:val="22"/>
            <w:lang w:val="es-CO"/>
          </w:rPr>
          <m:t>m</m:t>
        </m:r>
      </m:oMath>
      <w:r w:rsidRPr="005A745D">
        <w:rPr>
          <w:rFonts w:ascii="Verdana" w:hAnsi="Verdana"/>
          <w:sz w:val="22"/>
          <w:szCs w:val="22"/>
          <w:lang w:val="es-CO"/>
        </w:rPr>
        <w:t xml:space="preserve"> es grande, mientras que, cuando el plazo al vencimiento </w:t>
      </w:r>
      <m:oMath>
        <m:r>
          <w:rPr>
            <w:rFonts w:ascii="Cambria Math" w:hAnsi="Cambria Math"/>
            <w:sz w:val="22"/>
            <w:szCs w:val="22"/>
            <w:lang w:val="es-CO"/>
          </w:rPr>
          <m:t>m</m:t>
        </m:r>
      </m:oMath>
      <w:r w:rsidRPr="005A745D">
        <w:rPr>
          <w:rFonts w:ascii="Verdana" w:hAnsi="Verdana"/>
          <w:sz w:val="22"/>
          <w:szCs w:val="22"/>
          <w:lang w:val="es-CO"/>
        </w:rPr>
        <w:t xml:space="preserve"> es pequeño el rendimiento en el límite es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oMath>
      <w:r w:rsidRPr="005A745D">
        <w:rPr>
          <w:rFonts w:ascii="Verdana" w:hAnsi="Verdana"/>
          <w:sz w:val="22"/>
          <w:szCs w:val="22"/>
          <w:lang w:val="es-CO"/>
        </w:rPr>
        <w:t xml:space="preserve">. Igualmente, los coeficientes del modelo de tasas forward pueden ser interpretados como medidas de fortaleza al corto, mediano y largo plazo. La contribución al largo plazo es determinada por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oMath>
      <w:r w:rsidRPr="005A745D">
        <w:rPr>
          <w:rFonts w:ascii="Verdana" w:hAnsi="Verdana"/>
          <w:sz w:val="22"/>
          <w:szCs w:val="22"/>
        </w:rPr>
        <w:t xml:space="preserve"> </w:t>
      </w:r>
      <w:r w:rsidRPr="005A745D">
        <w:rPr>
          <w:rFonts w:ascii="Verdana" w:hAnsi="Verdana"/>
          <w:sz w:val="22"/>
          <w:szCs w:val="22"/>
          <w:lang w:val="es-CO"/>
        </w:rPr>
        <w:t>lo hace al corto plazo ponderado por la función monótona creciente (decreciente)</w:t>
      </w:r>
      <w:r w:rsidRPr="005A745D">
        <w:rPr>
          <w:rFonts w:ascii="Verdana" w:hAnsi="Verdana"/>
          <w:i/>
          <w:sz w:val="22"/>
          <w:szCs w:val="22"/>
        </w:rPr>
        <w:t xml:space="preserve"> </w:t>
      </w:r>
      <m:oMath>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oMath>
      <w:r w:rsidRPr="005A745D">
        <w:rPr>
          <w:rFonts w:ascii="Verdana" w:hAnsi="Verdana"/>
          <w:sz w:val="22"/>
          <w:szCs w:val="22"/>
          <w:lang w:val="es-CO"/>
        </w:rPr>
        <w:t xml:space="preserve"> cuando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oMath>
      <w:r w:rsidRPr="005A745D">
        <w:rPr>
          <w:rFonts w:ascii="Verdana" w:hAnsi="Verdana"/>
          <w:sz w:val="22"/>
          <w:szCs w:val="22"/>
          <w:lang w:val="es-CO"/>
        </w:rPr>
        <w:t xml:space="preserve"> es negativo (positivo) y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oMath>
      <w:r w:rsidRPr="005A745D">
        <w:rPr>
          <w:rFonts w:ascii="Verdana" w:hAnsi="Verdana"/>
          <w:sz w:val="22"/>
          <w:szCs w:val="22"/>
          <w:lang w:val="es-CO"/>
        </w:rPr>
        <w:t xml:space="preserve"> lo hace al mediano plazo ponderado por la función monótona creciente (decreciente) </w:t>
      </w:r>
      <m:oMath>
        <m:r>
          <w:rPr>
            <w:rFonts w:ascii="Cambria Math" w:hAnsi="Cambria Math"/>
            <w:sz w:val="22"/>
            <w:szCs w:val="22"/>
          </w:rPr>
          <m:t>(m/τ)</m:t>
        </m:r>
        <m:sSup>
          <m:sSupPr>
            <m:ctrlPr>
              <w:rPr>
                <w:rFonts w:ascii="Cambria Math" w:hAnsi="Cambria Math"/>
                <w:i/>
                <w:sz w:val="22"/>
                <w:szCs w:val="22"/>
              </w:rPr>
            </m:ctrlPr>
          </m:sSupPr>
          <m:e>
            <m:r>
              <w:rPr>
                <w:rFonts w:ascii="Cambria Math" w:hAnsi="Cambria Math"/>
                <w:sz w:val="22"/>
                <w:szCs w:val="22"/>
              </w:rPr>
              <m:t>e</m:t>
            </m:r>
          </m:e>
          <m:sup>
            <m:r>
              <w:rPr>
                <w:rFonts w:ascii="Cambria Math" w:hAnsi="Cambria Math"/>
                <w:sz w:val="22"/>
                <w:szCs w:val="22"/>
              </w:rPr>
              <m:t>-m/τ</m:t>
            </m:r>
          </m:sup>
        </m:sSup>
      </m:oMath>
      <w:r w:rsidRPr="005A745D">
        <w:rPr>
          <w:rFonts w:ascii="Verdana" w:hAnsi="Verdana"/>
          <w:sz w:val="22"/>
          <w:szCs w:val="22"/>
          <w:lang w:val="es-CO"/>
        </w:rPr>
        <w:t xml:space="preserve"> cuando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w:rPr>
            <w:rFonts w:ascii="Cambria Math" w:hAnsi="Cambria Math"/>
            <w:sz w:val="22"/>
            <w:szCs w:val="22"/>
          </w:rPr>
          <m:t xml:space="preserve"> </m:t>
        </m:r>
      </m:oMath>
      <w:r w:rsidRPr="005A745D">
        <w:rPr>
          <w:rFonts w:ascii="Verdana" w:hAnsi="Verdana"/>
          <w:sz w:val="22"/>
          <w:szCs w:val="22"/>
          <w:lang w:val="es-CO"/>
        </w:rPr>
        <w:t xml:space="preserve">es negativo (positivo) </w:t>
      </w:r>
      <w:r w:rsidRPr="005A745D">
        <w:rPr>
          <w:rFonts w:ascii="Verdana" w:hAnsi="Verdana"/>
          <w:noProof/>
          <w:sz w:val="22"/>
          <w:szCs w:val="22"/>
          <w:lang w:val="es-MX"/>
        </w:rPr>
        <w:t>(Akinyemi et al, 2019).</w:t>
      </w:r>
    </w:p>
    <w:p w14:paraId="1267A4AE" w14:textId="77777777" w:rsidR="005A745D" w:rsidRPr="005A745D" w:rsidRDefault="005A745D" w:rsidP="005A745D">
      <w:pPr>
        <w:jc w:val="both"/>
        <w:rPr>
          <w:rFonts w:ascii="Verdana" w:hAnsi="Verdana"/>
          <w:sz w:val="22"/>
          <w:szCs w:val="22"/>
          <w:lang w:val="es-CO"/>
        </w:rPr>
      </w:pPr>
    </w:p>
    <w:p w14:paraId="2D256E8B"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Consecuentemente, </w:t>
      </w:r>
      <m:oMath>
        <m:r>
          <w:rPr>
            <w:rFonts w:ascii="Cambria Math" w:hAnsi="Cambria Math"/>
            <w:sz w:val="22"/>
            <w:szCs w:val="22"/>
            <w:lang w:val="es-CO"/>
          </w:rPr>
          <m:t>s(m)</m:t>
        </m:r>
      </m:oMath>
      <w:r w:rsidRPr="005A745D">
        <w:rPr>
          <w:rFonts w:ascii="Verdana" w:hAnsi="Verdana"/>
          <w:sz w:val="22"/>
          <w:szCs w:val="22"/>
          <w:lang w:val="es-CO"/>
        </w:rPr>
        <w:t> es la ecuación utilizada para captar la relación subyacente entre los rendimientos y los plazos al vencimiento o madurez, sin recurrir a modelos más complejos que involucren un mayor número de parámetros.</w:t>
      </w:r>
    </w:p>
    <w:p w14:paraId="100EA157" w14:textId="77777777" w:rsidR="005A745D" w:rsidRPr="005A745D" w:rsidRDefault="005A745D" w:rsidP="005A745D">
      <w:pPr>
        <w:jc w:val="both"/>
        <w:rPr>
          <w:rFonts w:ascii="Verdana" w:hAnsi="Verdana"/>
          <w:sz w:val="22"/>
          <w:szCs w:val="22"/>
          <w:lang w:val="es-CO"/>
        </w:rPr>
      </w:pPr>
    </w:p>
    <w:p w14:paraId="1C504E17" w14:textId="77777777" w:rsidR="005A745D" w:rsidRPr="005A745D" w:rsidRDefault="005A745D" w:rsidP="005A745D">
      <w:pPr>
        <w:jc w:val="both"/>
        <w:rPr>
          <w:rFonts w:ascii="Verdana" w:hAnsi="Verdana"/>
          <w:sz w:val="22"/>
          <w:szCs w:val="22"/>
          <w:u w:val="single"/>
        </w:rPr>
      </w:pPr>
      <w:r w:rsidRPr="005A745D">
        <w:rPr>
          <w:rFonts w:ascii="Verdana" w:hAnsi="Verdana"/>
          <w:sz w:val="22"/>
          <w:szCs w:val="22"/>
          <w:u w:val="single"/>
        </w:rPr>
        <w:t>Metodología Smith-Wilson</w:t>
      </w:r>
    </w:p>
    <w:p w14:paraId="4FD086C5" w14:textId="77777777" w:rsidR="005A745D" w:rsidRPr="005A745D" w:rsidRDefault="005A745D" w:rsidP="005A745D">
      <w:pPr>
        <w:jc w:val="both"/>
        <w:rPr>
          <w:rFonts w:ascii="Verdana" w:hAnsi="Verdana"/>
          <w:sz w:val="22"/>
          <w:szCs w:val="22"/>
          <w:u w:val="single"/>
        </w:rPr>
      </w:pPr>
    </w:p>
    <w:p w14:paraId="0DCF192C"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El método de extrapolación Smith-Wilson es una técnica que permite construir y extrapolar la curva de rendimiento más allá de los puntos donde existen tasas de interés observables en el mercado, especialmente en horizontes temporales más largos. Una de sus características principales es que la tasa de interés de largo plazo es un parámetro fijo, la UFR, que no varía con el tiempo ni con los precios de los bonos, lo que lo convierte en una solución efectiva para gestionar el riesgo de tipo de interés a largo plazo. Este método es particularmente útil en los plazos por encima del UPL, donde no existen datos de mercado </w:t>
      </w:r>
      <w:r w:rsidRPr="005A745D">
        <w:rPr>
          <w:rFonts w:ascii="Verdana" w:hAnsi="Verdana"/>
          <w:noProof/>
          <w:sz w:val="22"/>
          <w:szCs w:val="22"/>
          <w:lang w:val="es-MX"/>
        </w:rPr>
        <w:t>(Akinyemi et al, 2019)</w:t>
      </w:r>
      <w:r w:rsidRPr="005A745D">
        <w:rPr>
          <w:rFonts w:ascii="Verdana" w:hAnsi="Verdana"/>
          <w:sz w:val="22"/>
          <w:szCs w:val="22"/>
          <w:lang w:val="es-CO"/>
        </w:rPr>
        <w:t>.</w:t>
      </w:r>
    </w:p>
    <w:p w14:paraId="5D056C26" w14:textId="77777777" w:rsidR="005A745D" w:rsidRPr="005A745D" w:rsidRDefault="005A745D" w:rsidP="005A745D">
      <w:pPr>
        <w:jc w:val="both"/>
        <w:rPr>
          <w:rFonts w:ascii="Verdana" w:hAnsi="Verdana"/>
          <w:sz w:val="22"/>
          <w:szCs w:val="22"/>
          <w:lang w:val="es-CO"/>
        </w:rPr>
      </w:pPr>
    </w:p>
    <w:p w14:paraId="3412CC5E"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lastRenderedPageBreak/>
        <w:t xml:space="preserve">Por su parte, EIOPA (2021) muestra que, a diferencia de otros métodos, este enfoque se basa en una función de valor presente, en lugar de modelar directamente las tasas forward o tasas de interés. Los factores de descuento </w:t>
      </w:r>
      <m:oMath>
        <m:r>
          <w:rPr>
            <w:rFonts w:ascii="Cambria Math" w:hAnsi="Cambria Math"/>
            <w:sz w:val="22"/>
            <w:szCs w:val="22"/>
            <w:lang w:val="es-CO"/>
          </w:rPr>
          <m:t>Z(u)</m:t>
        </m:r>
      </m:oMath>
      <w:r w:rsidRPr="005A745D">
        <w:rPr>
          <w:rFonts w:ascii="Verdana" w:hAnsi="Verdana"/>
          <w:sz w:val="22"/>
          <w:szCs w:val="22"/>
          <w:lang w:val="es-CO"/>
        </w:rPr>
        <w:t xml:space="preserve">, para los periodos de maduración observados </w:t>
      </w:r>
      <m:oMath>
        <m:r>
          <w:rPr>
            <w:rFonts w:ascii="Cambria Math" w:hAnsi="Cambria Math"/>
            <w:sz w:val="22"/>
            <w:szCs w:val="22"/>
            <w:lang w:val="es-CO"/>
          </w:rPr>
          <m:t>u</m:t>
        </m:r>
      </m:oMath>
      <w:r w:rsidRPr="005A745D">
        <w:rPr>
          <w:rFonts w:ascii="Verdana" w:hAnsi="Verdana"/>
          <w:sz w:val="22"/>
          <w:szCs w:val="22"/>
          <w:lang w:val="es-CO"/>
        </w:rPr>
        <w:t xml:space="preserve"> se calculan como:</w:t>
      </w:r>
    </w:p>
    <w:p w14:paraId="5036EE77" w14:textId="77777777" w:rsidR="005A745D" w:rsidRPr="005A745D" w:rsidRDefault="005A745D" w:rsidP="005A745D">
      <w:pPr>
        <w:jc w:val="both"/>
        <w:rPr>
          <w:rFonts w:ascii="Verdana" w:hAnsi="Verdana"/>
          <w:sz w:val="22"/>
          <w:szCs w:val="22"/>
          <w:lang w:val="es-CO"/>
        </w:rPr>
      </w:pPr>
    </w:p>
    <w:p w14:paraId="66672D89" w14:textId="77777777" w:rsidR="005A745D" w:rsidRPr="005A745D" w:rsidRDefault="005A745D" w:rsidP="005A745D">
      <w:pPr>
        <w:jc w:val="both"/>
        <w:rPr>
          <w:rFonts w:ascii="Verdana" w:hAnsi="Verdana"/>
          <w:sz w:val="22"/>
          <w:szCs w:val="22"/>
          <w:lang w:val="es-CO"/>
        </w:rPr>
      </w:pPr>
      <m:oMathPara>
        <m:oMath>
          <m:r>
            <w:rPr>
              <w:rFonts w:ascii="Cambria Math" w:hAnsi="Cambria Math"/>
              <w:sz w:val="22"/>
              <w:szCs w:val="22"/>
              <w:lang w:val="es-CO"/>
            </w:rPr>
            <m:t>Z</m:t>
          </m:r>
          <m:d>
            <m:dPr>
              <m:ctrlPr>
                <w:rPr>
                  <w:rFonts w:ascii="Cambria Math" w:hAnsi="Cambria Math"/>
                  <w:i/>
                  <w:sz w:val="22"/>
                  <w:szCs w:val="22"/>
                  <w:lang w:val="es-CO"/>
                </w:rPr>
              </m:ctrlPr>
            </m:dPr>
            <m:e>
              <m:r>
                <w:rPr>
                  <w:rFonts w:ascii="Cambria Math" w:hAnsi="Cambria Math"/>
                  <w:sz w:val="22"/>
                  <w:szCs w:val="22"/>
                  <w:lang w:val="es-CO"/>
                </w:rPr>
                <m:t>u</m:t>
              </m:r>
            </m:e>
          </m:d>
          <m:r>
            <w:rPr>
              <w:rFonts w:ascii="Cambria Math" w:hAnsi="Cambria Math"/>
              <w:sz w:val="22"/>
              <w:szCs w:val="22"/>
              <w:lang w:val="es-CO"/>
            </w:rPr>
            <m:t xml:space="preserve">= </m:t>
          </m:r>
          <m:sSup>
            <m:sSupPr>
              <m:ctrlPr>
                <w:rPr>
                  <w:rFonts w:ascii="Cambria Math" w:hAnsi="Cambria Math"/>
                  <w:i/>
                  <w:sz w:val="22"/>
                  <w:szCs w:val="22"/>
                  <w:lang w:val="es-CO"/>
                </w:rPr>
              </m:ctrlPr>
            </m:sSupPr>
            <m:e>
              <m:r>
                <w:rPr>
                  <w:rFonts w:ascii="Cambria Math" w:hAnsi="Cambria Math"/>
                  <w:sz w:val="22"/>
                  <w:szCs w:val="22"/>
                  <w:lang w:val="es-CO"/>
                </w:rPr>
                <m:t>e</m:t>
              </m:r>
            </m:e>
            <m:sup>
              <m:r>
                <w:rPr>
                  <w:rFonts w:ascii="Cambria Math" w:hAnsi="Cambria Math"/>
                  <w:sz w:val="22"/>
                  <w:szCs w:val="22"/>
                  <w:lang w:val="es-CO"/>
                </w:rPr>
                <m:t>-u*y(u)</m:t>
              </m:r>
            </m:sup>
          </m:sSup>
        </m:oMath>
      </m:oMathPara>
    </w:p>
    <w:p w14:paraId="1F4AC699" w14:textId="77777777" w:rsidR="005A745D" w:rsidRPr="005A745D" w:rsidRDefault="005A745D" w:rsidP="005A745D">
      <w:pPr>
        <w:jc w:val="both"/>
        <w:rPr>
          <w:rFonts w:ascii="Verdana" w:hAnsi="Verdana"/>
          <w:sz w:val="22"/>
          <w:szCs w:val="22"/>
          <w:lang w:val="es-CO"/>
        </w:rPr>
      </w:pPr>
    </w:p>
    <w:p w14:paraId="12B1AFA8"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Donde </w:t>
      </w:r>
      <m:oMath>
        <m:r>
          <w:rPr>
            <w:rFonts w:ascii="Cambria Math" w:hAnsi="Cambria Math"/>
            <w:sz w:val="22"/>
            <w:szCs w:val="22"/>
            <w:lang w:val="es-CO"/>
          </w:rPr>
          <m:t>y(u)</m:t>
        </m:r>
      </m:oMath>
      <w:r w:rsidRPr="005A745D">
        <w:rPr>
          <w:rFonts w:ascii="Verdana" w:hAnsi="Verdana"/>
          <w:sz w:val="22"/>
          <w:szCs w:val="22"/>
          <w:lang w:val="es-CO"/>
        </w:rPr>
        <w:t xml:space="preserve"> representa la tasa observada para una madurez </w:t>
      </w:r>
      <m:oMath>
        <m:r>
          <w:rPr>
            <w:rFonts w:ascii="Cambria Math" w:hAnsi="Cambria Math"/>
            <w:sz w:val="22"/>
            <w:szCs w:val="22"/>
            <w:lang w:val="es-CO"/>
          </w:rPr>
          <m:t>u</m:t>
        </m:r>
      </m:oMath>
      <w:r w:rsidRPr="005A745D">
        <w:rPr>
          <w:rFonts w:ascii="Verdana" w:hAnsi="Verdana"/>
          <w:sz w:val="22"/>
          <w:szCs w:val="22"/>
          <w:lang w:val="es-CO"/>
        </w:rPr>
        <w:t>. Para extrapolar más allá del UPL, se introduce la función de Wilson, que ajusta los pesos en función de la distancia entre los periodos de maduración observados (</w:t>
      </w:r>
      <m:oMath>
        <m:r>
          <w:rPr>
            <w:rFonts w:ascii="Cambria Math" w:hAnsi="Cambria Math"/>
            <w:sz w:val="22"/>
            <w:szCs w:val="22"/>
            <w:lang w:val="es-CO"/>
          </w:rPr>
          <m:t>v</m:t>
        </m:r>
      </m:oMath>
      <w:r w:rsidRPr="005A745D">
        <w:rPr>
          <w:rFonts w:ascii="Verdana" w:hAnsi="Verdana"/>
          <w:sz w:val="22"/>
          <w:szCs w:val="22"/>
          <w:lang w:val="es-CO"/>
        </w:rPr>
        <w:t>) y extrapolados (</w:t>
      </w:r>
      <m:oMath>
        <m:r>
          <w:rPr>
            <w:rFonts w:ascii="Cambria Math" w:hAnsi="Cambria Math"/>
            <w:sz w:val="22"/>
            <w:szCs w:val="22"/>
            <w:lang w:val="es-CO"/>
          </w:rPr>
          <m:t>u</m:t>
        </m:r>
      </m:oMath>
      <w:r w:rsidRPr="005A745D">
        <w:rPr>
          <w:rFonts w:ascii="Verdana" w:hAnsi="Verdana"/>
          <w:sz w:val="22"/>
          <w:szCs w:val="22"/>
          <w:lang w:val="es-CO"/>
        </w:rPr>
        <w:t>):</w:t>
      </w:r>
    </w:p>
    <w:p w14:paraId="45AC6BDD"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 </w:t>
      </w:r>
    </w:p>
    <w:p w14:paraId="02B2E118" w14:textId="77777777" w:rsidR="005A745D" w:rsidRPr="005A745D" w:rsidRDefault="005A745D" w:rsidP="005A745D">
      <w:pPr>
        <w:jc w:val="both"/>
        <w:rPr>
          <w:rFonts w:ascii="Verdana" w:hAnsi="Verdana"/>
          <w:sz w:val="22"/>
          <w:szCs w:val="22"/>
          <w:lang w:val="es-CO"/>
        </w:rPr>
      </w:pPr>
      <m:oMathPara>
        <m:oMath>
          <m:r>
            <w:rPr>
              <w:rFonts w:ascii="Cambria Math" w:hAnsi="Cambria Math"/>
              <w:sz w:val="22"/>
              <w:szCs w:val="22"/>
              <w:lang w:val="es-CO"/>
            </w:rPr>
            <m:t>W</m:t>
          </m:r>
          <m:d>
            <m:dPr>
              <m:ctrlPr>
                <w:rPr>
                  <w:rFonts w:ascii="Cambria Math" w:hAnsi="Cambria Math"/>
                  <w:i/>
                  <w:sz w:val="22"/>
                  <w:szCs w:val="22"/>
                  <w:lang w:val="es-CO"/>
                </w:rPr>
              </m:ctrlPr>
            </m:dPr>
            <m:e>
              <m:r>
                <w:rPr>
                  <w:rFonts w:ascii="Cambria Math" w:hAnsi="Cambria Math"/>
                  <w:sz w:val="22"/>
                  <w:szCs w:val="22"/>
                  <w:lang w:val="es-CO"/>
                </w:rPr>
                <m:t>u</m:t>
              </m:r>
            </m:e>
          </m:d>
          <m:r>
            <w:rPr>
              <w:rFonts w:ascii="Cambria Math" w:hAnsi="Cambria Math"/>
              <w:sz w:val="22"/>
              <w:szCs w:val="22"/>
              <w:lang w:val="es-CO"/>
            </w:rPr>
            <m:t xml:space="preserve">= </m:t>
          </m:r>
          <m:sSup>
            <m:sSupPr>
              <m:ctrlPr>
                <w:rPr>
                  <w:rFonts w:ascii="Cambria Math" w:hAnsi="Cambria Math"/>
                  <w:i/>
                  <w:sz w:val="22"/>
                  <w:szCs w:val="22"/>
                  <w:lang w:val="es-CO"/>
                </w:rPr>
              </m:ctrlPr>
            </m:sSupPr>
            <m:e>
              <m:r>
                <w:rPr>
                  <w:rFonts w:ascii="Cambria Math" w:hAnsi="Cambria Math"/>
                  <w:sz w:val="22"/>
                  <w:szCs w:val="22"/>
                  <w:lang w:val="es-CO"/>
                </w:rPr>
                <m:t>e</m:t>
              </m:r>
            </m:e>
            <m:sup>
              <m:r>
                <w:rPr>
                  <w:rFonts w:ascii="Cambria Math" w:hAnsi="Cambria Math"/>
                  <w:sz w:val="22"/>
                  <w:szCs w:val="22"/>
                  <w:lang w:val="es-CO"/>
                </w:rPr>
                <m:t>-α</m:t>
              </m:r>
              <m:r>
                <w:rPr>
                  <w:rFonts w:ascii="Cambria Math" w:hAnsi="Cambria Math"/>
                  <w:sz w:val="22"/>
                  <w:szCs w:val="22"/>
                </w:rPr>
                <m:t>|u-v|</m:t>
              </m:r>
            </m:sup>
          </m:sSup>
          <m:r>
            <w:rPr>
              <w:rFonts w:ascii="Cambria Math" w:hAnsi="Cambria Math"/>
              <w:sz w:val="22"/>
              <w:szCs w:val="22"/>
              <w:lang w:val="es-CO"/>
            </w:rPr>
            <m:t>*(α*</m:t>
          </m:r>
          <m:func>
            <m:funcPr>
              <m:ctrlPr>
                <w:rPr>
                  <w:rFonts w:ascii="Cambria Math" w:hAnsi="Cambria Math"/>
                  <w:i/>
                  <w:sz w:val="22"/>
                  <w:szCs w:val="22"/>
                  <w:lang w:val="es-CO"/>
                </w:rPr>
              </m:ctrlPr>
            </m:funcPr>
            <m:fName>
              <m:r>
                <m:rPr>
                  <m:sty m:val="p"/>
                </m:rPr>
                <w:rPr>
                  <w:rFonts w:ascii="Cambria Math" w:hAnsi="Cambria Math"/>
                  <w:sz w:val="22"/>
                  <w:szCs w:val="22"/>
                  <w:lang w:val="es-CO"/>
                </w:rPr>
                <m:t>min</m:t>
              </m:r>
            </m:fName>
            <m:e>
              <m:d>
                <m:dPr>
                  <m:ctrlPr>
                    <w:rPr>
                      <w:rFonts w:ascii="Cambria Math" w:hAnsi="Cambria Math"/>
                      <w:i/>
                      <w:sz w:val="22"/>
                      <w:szCs w:val="22"/>
                      <w:lang w:val="es-CO"/>
                    </w:rPr>
                  </m:ctrlPr>
                </m:dPr>
                <m:e>
                  <m:r>
                    <w:rPr>
                      <w:rFonts w:ascii="Cambria Math" w:hAnsi="Cambria Math"/>
                      <w:sz w:val="22"/>
                      <w:szCs w:val="22"/>
                      <w:lang w:val="es-CO"/>
                    </w:rPr>
                    <m:t>u,v</m:t>
                  </m:r>
                </m:e>
              </m:d>
            </m:e>
          </m:func>
          <m:r>
            <w:rPr>
              <w:rFonts w:ascii="Cambria Math" w:hAnsi="Cambria Math"/>
              <w:sz w:val="22"/>
              <w:szCs w:val="22"/>
              <w:lang w:val="es-CO"/>
            </w:rPr>
            <m:t>+1)</m:t>
          </m:r>
        </m:oMath>
      </m:oMathPara>
    </w:p>
    <w:p w14:paraId="23720719" w14:textId="77777777" w:rsidR="005A745D" w:rsidRPr="005A745D" w:rsidRDefault="005A745D" w:rsidP="005A745D">
      <w:pPr>
        <w:jc w:val="both"/>
        <w:rPr>
          <w:rFonts w:ascii="Verdana" w:hAnsi="Verdana"/>
          <w:sz w:val="22"/>
          <w:szCs w:val="22"/>
          <w:lang w:val="es-CO"/>
        </w:rPr>
      </w:pPr>
    </w:p>
    <w:p w14:paraId="68871875"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En esta fórmula, </w:t>
      </w:r>
      <m:oMath>
        <m:r>
          <w:rPr>
            <w:rFonts w:ascii="Cambria Math" w:hAnsi="Cambria Math"/>
            <w:sz w:val="22"/>
            <w:szCs w:val="22"/>
            <w:lang w:val="es-CO"/>
          </w:rPr>
          <m:t>α</m:t>
        </m:r>
      </m:oMath>
      <w:r w:rsidRPr="005A745D">
        <w:rPr>
          <w:rFonts w:ascii="Verdana" w:hAnsi="Verdana"/>
          <w:sz w:val="22"/>
          <w:szCs w:val="22"/>
          <w:lang w:val="es-CO"/>
        </w:rPr>
        <w:t xml:space="preserve"> es un parámetro que controla la velocidad de convergencia hacia la UFR</w:t>
      </w:r>
      <w:r w:rsidRPr="005A745D">
        <w:rPr>
          <w:rStyle w:val="Refdenotaalpie"/>
          <w:rFonts w:ascii="Verdana" w:hAnsi="Verdana"/>
          <w:sz w:val="22"/>
          <w:szCs w:val="22"/>
          <w:lang w:val="es-CO"/>
        </w:rPr>
        <w:footnoteReference w:id="6"/>
      </w:r>
      <w:r w:rsidRPr="005A745D">
        <w:rPr>
          <w:rFonts w:ascii="Verdana" w:hAnsi="Verdana"/>
          <w:sz w:val="22"/>
          <w:szCs w:val="22"/>
          <w:lang w:val="es-CO"/>
        </w:rPr>
        <w:t xml:space="preserve">. La extrapolación se realiza estimando los factores de descuento observados </w:t>
      </w:r>
      <m:oMath>
        <m:r>
          <w:rPr>
            <w:rFonts w:ascii="Cambria Math" w:hAnsi="Cambria Math"/>
            <w:sz w:val="22"/>
            <w:szCs w:val="22"/>
            <w:lang w:val="es-CO"/>
          </w:rPr>
          <m:t>Z</m:t>
        </m:r>
        <m:d>
          <m:dPr>
            <m:ctrlPr>
              <w:rPr>
                <w:rFonts w:ascii="Cambria Math" w:hAnsi="Cambria Math"/>
                <w:i/>
                <w:sz w:val="22"/>
                <w:szCs w:val="22"/>
                <w:lang w:val="es-CO"/>
              </w:rPr>
            </m:ctrlPr>
          </m:dPr>
          <m:e>
            <m:r>
              <w:rPr>
                <w:rFonts w:ascii="Cambria Math" w:hAnsi="Cambria Math"/>
                <w:sz w:val="22"/>
                <w:szCs w:val="22"/>
                <w:lang w:val="es-CO"/>
              </w:rPr>
              <m:t>u</m:t>
            </m:r>
          </m:e>
        </m:d>
      </m:oMath>
      <w:r w:rsidRPr="005A745D">
        <w:rPr>
          <w:rFonts w:ascii="Verdana" w:hAnsi="Verdana"/>
          <w:sz w:val="22"/>
          <w:szCs w:val="22"/>
          <w:lang w:val="es-CO"/>
        </w:rPr>
        <w:t xml:space="preserve"> mediante un sistema lineal que utiliza el modelo ajustado </w:t>
      </w:r>
      <m:oMath>
        <m:r>
          <w:rPr>
            <w:rFonts w:ascii="Cambria Math" w:hAnsi="Cambria Math"/>
            <w:sz w:val="22"/>
            <w:szCs w:val="22"/>
            <w:lang w:val="es-CO"/>
          </w:rPr>
          <m:t>P</m:t>
        </m:r>
        <m:d>
          <m:dPr>
            <m:ctrlPr>
              <w:rPr>
                <w:rFonts w:ascii="Cambria Math" w:hAnsi="Cambria Math"/>
                <w:i/>
                <w:sz w:val="22"/>
                <w:szCs w:val="22"/>
                <w:lang w:val="es-CO"/>
              </w:rPr>
            </m:ctrlPr>
          </m:dPr>
          <m:e>
            <m:r>
              <w:rPr>
                <w:rFonts w:ascii="Cambria Math" w:hAnsi="Cambria Math"/>
                <w:sz w:val="22"/>
                <w:szCs w:val="22"/>
                <w:lang w:val="es-CO"/>
              </w:rPr>
              <m:t>t</m:t>
            </m:r>
          </m:e>
        </m:d>
      </m:oMath>
      <w:r w:rsidRPr="005A745D">
        <w:rPr>
          <w:rFonts w:ascii="Verdana" w:hAnsi="Verdana"/>
          <w:sz w:val="22"/>
          <w:szCs w:val="22"/>
          <w:lang w:val="es-CO"/>
        </w:rPr>
        <w:t>:</w:t>
      </w:r>
    </w:p>
    <w:p w14:paraId="21C23133" w14:textId="77777777" w:rsidR="005A745D" w:rsidRPr="005A745D" w:rsidRDefault="005A745D" w:rsidP="005A745D">
      <w:pPr>
        <w:jc w:val="both"/>
        <w:rPr>
          <w:rFonts w:ascii="Verdana" w:hAnsi="Verdana"/>
          <w:sz w:val="22"/>
          <w:szCs w:val="22"/>
          <w:lang w:val="es-CO"/>
        </w:rPr>
      </w:pPr>
      <m:oMathPara>
        <m:oMath>
          <m:r>
            <w:rPr>
              <w:rFonts w:ascii="Cambria Math" w:hAnsi="Cambria Math"/>
              <w:sz w:val="22"/>
              <w:szCs w:val="22"/>
              <w:lang w:val="es-CO"/>
            </w:rPr>
            <m:t>P</m:t>
          </m:r>
          <m:d>
            <m:dPr>
              <m:ctrlPr>
                <w:rPr>
                  <w:rFonts w:ascii="Cambria Math" w:hAnsi="Cambria Math"/>
                  <w:i/>
                  <w:sz w:val="22"/>
                  <w:szCs w:val="22"/>
                  <w:lang w:val="es-CO"/>
                </w:rPr>
              </m:ctrlPr>
            </m:dPr>
            <m:e>
              <m:r>
                <w:rPr>
                  <w:rFonts w:ascii="Cambria Math" w:hAnsi="Cambria Math"/>
                  <w:sz w:val="22"/>
                  <w:szCs w:val="22"/>
                  <w:lang w:val="es-CO"/>
                </w:rPr>
                <m:t>t</m:t>
              </m:r>
            </m:e>
          </m:d>
          <m:r>
            <w:rPr>
              <w:rFonts w:ascii="Cambria Math" w:hAnsi="Cambria Math"/>
              <w:sz w:val="22"/>
              <w:szCs w:val="22"/>
              <w:lang w:val="es-CO"/>
            </w:rPr>
            <m:t xml:space="preserve">= </m:t>
          </m:r>
          <m:sSup>
            <m:sSupPr>
              <m:ctrlPr>
                <w:rPr>
                  <w:rFonts w:ascii="Cambria Math" w:hAnsi="Cambria Math"/>
                  <w:i/>
                  <w:sz w:val="22"/>
                  <w:szCs w:val="22"/>
                  <w:lang w:val="es-CO"/>
                </w:rPr>
              </m:ctrlPr>
            </m:sSupPr>
            <m:e>
              <m:r>
                <w:rPr>
                  <w:rFonts w:ascii="Cambria Math" w:hAnsi="Cambria Math"/>
                  <w:sz w:val="22"/>
                  <w:szCs w:val="22"/>
                  <w:lang w:val="es-CO"/>
                </w:rPr>
                <m:t>e</m:t>
              </m:r>
            </m:e>
            <m:sup>
              <m:r>
                <w:rPr>
                  <w:rFonts w:ascii="Cambria Math" w:hAnsi="Cambria Math"/>
                  <w:sz w:val="22"/>
                  <w:szCs w:val="22"/>
                  <w:lang w:val="es-CO"/>
                </w:rPr>
                <m:t>-ωt</m:t>
              </m:r>
            </m:sup>
          </m:sSup>
          <m:r>
            <w:rPr>
              <w:rFonts w:ascii="Cambria Math" w:hAnsi="Cambria Math"/>
              <w:sz w:val="22"/>
              <w:szCs w:val="22"/>
              <w:lang w:val="es-CO"/>
            </w:rPr>
            <m:t>+</m:t>
          </m:r>
          <m:nary>
            <m:naryPr>
              <m:chr m:val="∑"/>
              <m:limLoc m:val="undOvr"/>
              <m:ctrlPr>
                <w:rPr>
                  <w:rFonts w:ascii="Cambria Math" w:hAnsi="Cambria Math"/>
                  <w:i/>
                  <w:sz w:val="22"/>
                  <w:szCs w:val="22"/>
                  <w:lang w:val="es-CO"/>
                </w:rPr>
              </m:ctrlPr>
            </m:naryPr>
            <m:sub>
              <m:r>
                <w:rPr>
                  <w:rFonts w:ascii="Cambria Math" w:hAnsi="Cambria Math"/>
                  <w:sz w:val="22"/>
                  <w:szCs w:val="22"/>
                  <w:lang w:val="es-CO"/>
                </w:rPr>
                <m:t>i=1</m:t>
              </m:r>
            </m:sub>
            <m:sup>
              <m:r>
                <w:rPr>
                  <w:rFonts w:ascii="Cambria Math" w:hAnsi="Cambria Math"/>
                  <w:sz w:val="22"/>
                  <w:szCs w:val="22"/>
                  <w:lang w:val="es-CO"/>
                </w:rPr>
                <m:t>n</m:t>
              </m:r>
            </m:sup>
            <m:e>
              <m:sSub>
                <m:sSubPr>
                  <m:ctrlPr>
                    <w:rPr>
                      <w:rFonts w:ascii="Cambria Math" w:hAnsi="Cambria Math"/>
                      <w:i/>
                      <w:sz w:val="22"/>
                      <w:szCs w:val="22"/>
                      <w:lang w:val="es-CO"/>
                    </w:rPr>
                  </m:ctrlPr>
                </m:sSubPr>
                <m:e>
                  <m:r>
                    <w:rPr>
                      <w:rFonts w:ascii="Cambria Math" w:hAnsi="Cambria Math"/>
                      <w:sz w:val="22"/>
                      <w:szCs w:val="22"/>
                      <w:lang w:val="es-CO"/>
                    </w:rPr>
                    <m:t>ω</m:t>
                  </m:r>
                </m:e>
                <m:sub>
                  <m:r>
                    <w:rPr>
                      <w:rFonts w:ascii="Cambria Math" w:hAnsi="Cambria Math"/>
                      <w:sz w:val="22"/>
                      <w:szCs w:val="22"/>
                      <w:lang w:val="es-CO"/>
                    </w:rPr>
                    <m:t>i</m:t>
                  </m:r>
                </m:sub>
              </m:sSub>
              <m:r>
                <w:rPr>
                  <w:rFonts w:ascii="Cambria Math" w:hAnsi="Cambria Math"/>
                  <w:sz w:val="22"/>
                  <w:szCs w:val="22"/>
                  <w:lang w:val="es-CO"/>
                </w:rPr>
                <m:t>*W(t,</m:t>
              </m:r>
              <m:sSub>
                <m:sSubPr>
                  <m:ctrlPr>
                    <w:rPr>
                      <w:rFonts w:ascii="Cambria Math" w:hAnsi="Cambria Math"/>
                      <w:i/>
                      <w:sz w:val="22"/>
                      <w:szCs w:val="22"/>
                      <w:lang w:val="es-CO"/>
                    </w:rPr>
                  </m:ctrlPr>
                </m:sSubPr>
                <m:e>
                  <m:r>
                    <w:rPr>
                      <w:rFonts w:ascii="Cambria Math" w:hAnsi="Cambria Math"/>
                      <w:sz w:val="22"/>
                      <w:szCs w:val="22"/>
                      <w:lang w:val="es-CO"/>
                    </w:rPr>
                    <m:t>u</m:t>
                  </m:r>
                </m:e>
                <m:sub>
                  <m:r>
                    <w:rPr>
                      <w:rFonts w:ascii="Cambria Math" w:hAnsi="Cambria Math"/>
                      <w:sz w:val="22"/>
                      <w:szCs w:val="22"/>
                      <w:lang w:val="es-CO"/>
                    </w:rPr>
                    <m:t>i</m:t>
                  </m:r>
                </m:sub>
              </m:sSub>
              <m:r>
                <w:rPr>
                  <w:rFonts w:ascii="Cambria Math" w:hAnsi="Cambria Math"/>
                  <w:sz w:val="22"/>
                  <w:szCs w:val="22"/>
                  <w:lang w:val="es-CO"/>
                </w:rPr>
                <m:t>)</m:t>
              </m:r>
            </m:e>
          </m:nary>
        </m:oMath>
      </m:oMathPara>
    </w:p>
    <w:p w14:paraId="31E62C33" w14:textId="77777777" w:rsidR="005A745D" w:rsidRPr="005A745D" w:rsidRDefault="005A745D" w:rsidP="005A745D">
      <w:pPr>
        <w:jc w:val="both"/>
        <w:rPr>
          <w:rFonts w:ascii="Verdana" w:hAnsi="Verdana"/>
          <w:sz w:val="22"/>
          <w:szCs w:val="22"/>
          <w:lang w:val="es-CO"/>
        </w:rPr>
      </w:pPr>
    </w:p>
    <w:p w14:paraId="663A5C9E"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Donde </w:t>
      </w:r>
      <m:oMath>
        <m:r>
          <w:rPr>
            <w:rFonts w:ascii="Cambria Math" w:hAnsi="Cambria Math"/>
            <w:sz w:val="22"/>
            <w:szCs w:val="22"/>
            <w:lang w:val="es-CO"/>
          </w:rPr>
          <m:t>ω=</m:t>
        </m:r>
        <m:r>
          <m:rPr>
            <m:sty m:val="p"/>
          </m:rPr>
          <w:rPr>
            <w:rFonts w:ascii="Cambria Math" w:hAnsi="Cambria Math"/>
            <w:sz w:val="22"/>
            <w:szCs w:val="22"/>
            <w:lang w:val="es-CO"/>
          </w:rPr>
          <m:t>log⁡</m:t>
        </m:r>
        <m:r>
          <w:rPr>
            <w:rFonts w:ascii="Cambria Math" w:hAnsi="Cambria Math"/>
            <w:sz w:val="22"/>
            <w:szCs w:val="22"/>
            <w:lang w:val="es-CO"/>
          </w:rPr>
          <m:t>(1 +UFR)</m:t>
        </m:r>
      </m:oMath>
      <w:r w:rsidRPr="005A745D">
        <w:rPr>
          <w:rFonts w:ascii="Verdana" w:hAnsi="Verdana"/>
          <w:sz w:val="22"/>
          <w:szCs w:val="22"/>
          <w:lang w:val="es-CO"/>
        </w:rPr>
        <w:t xml:space="preserve">, y los pesos </w:t>
      </w:r>
      <m:oMath>
        <m:sSub>
          <m:sSubPr>
            <m:ctrlPr>
              <w:rPr>
                <w:rFonts w:ascii="Cambria Math" w:hAnsi="Cambria Math"/>
                <w:i/>
                <w:sz w:val="22"/>
                <w:szCs w:val="22"/>
                <w:lang w:val="es-CO"/>
              </w:rPr>
            </m:ctrlPr>
          </m:sSubPr>
          <m:e>
            <m:r>
              <w:rPr>
                <w:rFonts w:ascii="Cambria Math" w:hAnsi="Cambria Math"/>
                <w:sz w:val="22"/>
                <w:szCs w:val="22"/>
                <w:lang w:val="es-CO"/>
              </w:rPr>
              <m:t>ω</m:t>
            </m:r>
          </m:e>
          <m:sub>
            <m:r>
              <w:rPr>
                <w:rFonts w:ascii="Cambria Math" w:hAnsi="Cambria Math"/>
                <w:sz w:val="22"/>
                <w:szCs w:val="22"/>
                <w:lang w:val="es-CO"/>
              </w:rPr>
              <m:t>i</m:t>
            </m:r>
          </m:sub>
        </m:sSub>
      </m:oMath>
      <w:r w:rsidRPr="005A745D">
        <w:rPr>
          <w:rFonts w:ascii="Verdana" w:hAnsi="Verdana"/>
          <w:sz w:val="22"/>
          <w:szCs w:val="22"/>
          <w:lang w:val="es-CO"/>
        </w:rPr>
        <w:t xml:space="preserve"> se calculan resolviendo el sistema:</w:t>
      </w:r>
    </w:p>
    <w:p w14:paraId="68000D29" w14:textId="77777777" w:rsidR="005A745D" w:rsidRPr="005A745D" w:rsidRDefault="005A745D" w:rsidP="005A745D">
      <w:pPr>
        <w:jc w:val="both"/>
        <w:rPr>
          <w:rFonts w:ascii="Verdana" w:hAnsi="Verdana"/>
          <w:sz w:val="22"/>
          <w:szCs w:val="22"/>
          <w:lang w:val="es-CO"/>
        </w:rPr>
      </w:pPr>
    </w:p>
    <w:p w14:paraId="6505D015" w14:textId="77777777" w:rsidR="005A745D" w:rsidRPr="005A745D" w:rsidRDefault="005A745D" w:rsidP="005A745D">
      <w:pPr>
        <w:jc w:val="both"/>
        <w:rPr>
          <w:rFonts w:ascii="Verdana" w:hAnsi="Verdana"/>
          <w:sz w:val="22"/>
          <w:szCs w:val="22"/>
          <w:lang w:val="es-CO"/>
        </w:rPr>
      </w:pPr>
      <m:oMathPara>
        <m:oMath>
          <m:r>
            <w:rPr>
              <w:rFonts w:ascii="Cambria Math" w:hAnsi="Cambria Math"/>
              <w:sz w:val="22"/>
              <w:szCs w:val="22"/>
              <w:lang w:val="es-CO"/>
            </w:rPr>
            <m:t xml:space="preserve">K*ω=Z- </m:t>
          </m:r>
          <m:sSup>
            <m:sSupPr>
              <m:ctrlPr>
                <w:rPr>
                  <w:rFonts w:ascii="Cambria Math" w:hAnsi="Cambria Math"/>
                  <w:i/>
                  <w:sz w:val="22"/>
                  <w:szCs w:val="22"/>
                  <w:lang w:val="es-CO"/>
                </w:rPr>
              </m:ctrlPr>
            </m:sSupPr>
            <m:e>
              <m:r>
                <w:rPr>
                  <w:rFonts w:ascii="Cambria Math" w:hAnsi="Cambria Math"/>
                  <w:sz w:val="22"/>
                  <w:szCs w:val="22"/>
                  <w:lang w:val="es-CO"/>
                </w:rPr>
                <m:t>e</m:t>
              </m:r>
            </m:e>
            <m:sup>
              <m:r>
                <w:rPr>
                  <w:rFonts w:ascii="Cambria Math" w:hAnsi="Cambria Math"/>
                  <w:sz w:val="22"/>
                  <w:szCs w:val="22"/>
                  <w:lang w:val="es-CO"/>
                </w:rPr>
                <m:t>-ωu</m:t>
              </m:r>
            </m:sup>
          </m:sSup>
        </m:oMath>
      </m:oMathPara>
    </w:p>
    <w:p w14:paraId="2B0CAEF0" w14:textId="77777777" w:rsidR="005A745D" w:rsidRPr="005A745D" w:rsidRDefault="005A745D" w:rsidP="005A745D">
      <w:pPr>
        <w:jc w:val="both"/>
        <w:rPr>
          <w:rFonts w:ascii="Verdana" w:hAnsi="Verdana"/>
          <w:sz w:val="22"/>
          <w:szCs w:val="22"/>
          <w:lang w:val="es-CO"/>
        </w:rPr>
      </w:pPr>
    </w:p>
    <w:p w14:paraId="20A009F3"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Donde </w:t>
      </w:r>
      <m:oMath>
        <m:r>
          <w:rPr>
            <w:rFonts w:ascii="Cambria Math" w:hAnsi="Cambria Math"/>
            <w:sz w:val="22"/>
            <w:szCs w:val="22"/>
            <w:lang w:val="es-CO"/>
          </w:rPr>
          <m:t>K</m:t>
        </m:r>
      </m:oMath>
      <w:r w:rsidRPr="005A745D">
        <w:rPr>
          <w:rFonts w:ascii="Verdana" w:hAnsi="Verdana"/>
          <w:sz w:val="22"/>
          <w:szCs w:val="22"/>
          <w:lang w:val="es-CO"/>
        </w:rPr>
        <w:t xml:space="preserve"> es una matriz de Wilson generada por las madureces observadas</w:t>
      </w:r>
      <w:r w:rsidRPr="005A745D">
        <w:rPr>
          <w:rStyle w:val="Refdenotaalpie"/>
          <w:rFonts w:ascii="Verdana" w:hAnsi="Verdana"/>
          <w:sz w:val="22"/>
          <w:szCs w:val="22"/>
          <w:lang w:val="es-CO"/>
        </w:rPr>
        <w:footnoteReference w:id="7"/>
      </w:r>
      <w:r w:rsidRPr="005A745D">
        <w:rPr>
          <w:rFonts w:ascii="Verdana" w:hAnsi="Verdana"/>
          <w:sz w:val="22"/>
          <w:szCs w:val="22"/>
          <w:lang w:val="es-CO"/>
        </w:rPr>
        <w:t xml:space="preserve">. Así, las tasas extrapoladas </w:t>
      </w:r>
      <m:oMath>
        <m:r>
          <w:rPr>
            <w:rFonts w:ascii="Cambria Math" w:hAnsi="Cambria Math"/>
            <w:sz w:val="22"/>
            <w:szCs w:val="22"/>
            <w:lang w:val="es-CO"/>
          </w:rPr>
          <m:t>y(t)</m:t>
        </m:r>
      </m:oMath>
      <w:r w:rsidRPr="005A745D">
        <w:rPr>
          <w:rFonts w:ascii="Verdana" w:hAnsi="Verdana"/>
          <w:sz w:val="22"/>
          <w:szCs w:val="22"/>
          <w:lang w:val="es-CO"/>
        </w:rPr>
        <w:t xml:space="preserve"> se derivan de los factores de descuento </w:t>
      </w:r>
      <m:oMath>
        <m:r>
          <w:rPr>
            <w:rFonts w:ascii="Cambria Math" w:hAnsi="Cambria Math"/>
            <w:sz w:val="22"/>
            <w:szCs w:val="22"/>
            <w:lang w:val="es-CO"/>
          </w:rPr>
          <m:t>P(t)</m:t>
        </m:r>
      </m:oMath>
      <w:r w:rsidRPr="005A745D">
        <w:rPr>
          <w:rFonts w:ascii="Verdana" w:hAnsi="Verdana"/>
          <w:sz w:val="22"/>
          <w:szCs w:val="22"/>
          <w:lang w:val="es-CO"/>
        </w:rPr>
        <w:t xml:space="preserve"> como:</w:t>
      </w:r>
    </w:p>
    <w:p w14:paraId="36AA842C" w14:textId="77777777" w:rsidR="005A745D" w:rsidRPr="005A745D" w:rsidRDefault="005A745D" w:rsidP="005A745D">
      <w:pPr>
        <w:jc w:val="both"/>
        <w:rPr>
          <w:rFonts w:ascii="Verdana" w:hAnsi="Verdana"/>
          <w:sz w:val="22"/>
          <w:szCs w:val="22"/>
          <w:lang w:val="es-CO"/>
        </w:rPr>
      </w:pPr>
    </w:p>
    <w:p w14:paraId="469D5E1B" w14:textId="77777777" w:rsidR="005A745D" w:rsidRPr="005A745D" w:rsidRDefault="005A745D" w:rsidP="005A745D">
      <w:pPr>
        <w:jc w:val="both"/>
        <w:rPr>
          <w:rFonts w:ascii="Verdana" w:hAnsi="Verdana"/>
          <w:sz w:val="22"/>
          <w:szCs w:val="22"/>
          <w:lang w:val="es-CO"/>
        </w:rPr>
      </w:pPr>
      <m:oMathPara>
        <m:oMath>
          <m:r>
            <w:rPr>
              <w:rFonts w:ascii="Cambria Math" w:hAnsi="Cambria Math"/>
              <w:sz w:val="22"/>
              <w:szCs w:val="22"/>
              <w:lang w:val="es-CO"/>
            </w:rPr>
            <m:t>y</m:t>
          </m:r>
          <m:d>
            <m:dPr>
              <m:ctrlPr>
                <w:rPr>
                  <w:rFonts w:ascii="Cambria Math" w:hAnsi="Cambria Math"/>
                  <w:i/>
                  <w:sz w:val="22"/>
                  <w:szCs w:val="22"/>
                  <w:lang w:val="es-CO"/>
                </w:rPr>
              </m:ctrlPr>
            </m:dPr>
            <m:e>
              <m:r>
                <w:rPr>
                  <w:rFonts w:ascii="Cambria Math" w:hAnsi="Cambria Math"/>
                  <w:sz w:val="22"/>
                  <w:szCs w:val="22"/>
                  <w:lang w:val="es-CO"/>
                </w:rPr>
                <m:t>t</m:t>
              </m:r>
            </m:e>
          </m:d>
          <m:r>
            <w:rPr>
              <w:rFonts w:ascii="Cambria Math" w:hAnsi="Cambria Math"/>
              <w:sz w:val="22"/>
              <w:szCs w:val="22"/>
              <w:lang w:val="es-CO"/>
            </w:rPr>
            <m:t>= -</m:t>
          </m:r>
          <m:f>
            <m:fPr>
              <m:ctrlPr>
                <w:rPr>
                  <w:rFonts w:ascii="Cambria Math" w:hAnsi="Cambria Math"/>
                  <w:i/>
                  <w:sz w:val="22"/>
                  <w:szCs w:val="22"/>
                  <w:lang w:val="es-CO"/>
                </w:rPr>
              </m:ctrlPr>
            </m:fPr>
            <m:num>
              <m:func>
                <m:funcPr>
                  <m:ctrlPr>
                    <w:rPr>
                      <w:rFonts w:ascii="Cambria Math" w:hAnsi="Cambria Math"/>
                      <w:sz w:val="22"/>
                      <w:szCs w:val="22"/>
                      <w:lang w:val="es-CO"/>
                    </w:rPr>
                  </m:ctrlPr>
                </m:funcPr>
                <m:fName>
                  <m:r>
                    <m:rPr>
                      <m:sty m:val="p"/>
                    </m:rPr>
                    <w:rPr>
                      <w:rFonts w:ascii="Cambria Math" w:hAnsi="Cambria Math"/>
                      <w:sz w:val="22"/>
                      <w:szCs w:val="22"/>
                      <w:lang w:val="es-CO"/>
                    </w:rPr>
                    <m:t>log</m:t>
                  </m:r>
                  <m:ctrlPr>
                    <w:rPr>
                      <w:rFonts w:ascii="Cambria Math" w:hAnsi="Cambria Math"/>
                      <w:i/>
                      <w:sz w:val="22"/>
                      <w:szCs w:val="22"/>
                      <w:lang w:val="es-CO"/>
                    </w:rPr>
                  </m:ctrlPr>
                </m:fName>
                <m:e>
                  <m:d>
                    <m:dPr>
                      <m:ctrlPr>
                        <w:rPr>
                          <w:rFonts w:ascii="Cambria Math" w:hAnsi="Cambria Math"/>
                          <w:i/>
                          <w:sz w:val="22"/>
                          <w:szCs w:val="22"/>
                          <w:lang w:val="es-CO"/>
                        </w:rPr>
                      </m:ctrlPr>
                    </m:dPr>
                    <m:e>
                      <m:r>
                        <w:rPr>
                          <w:rFonts w:ascii="Cambria Math" w:hAnsi="Cambria Math"/>
                          <w:sz w:val="22"/>
                          <w:szCs w:val="22"/>
                          <w:lang w:val="es-CO"/>
                        </w:rPr>
                        <m:t>P(t)</m:t>
                      </m:r>
                    </m:e>
                  </m:d>
                </m:e>
              </m:func>
            </m:num>
            <m:den>
              <m:r>
                <w:rPr>
                  <w:rFonts w:ascii="Cambria Math" w:hAnsi="Cambria Math"/>
                  <w:sz w:val="22"/>
                  <w:szCs w:val="22"/>
                  <w:lang w:val="es-CO"/>
                </w:rPr>
                <m:t>t</m:t>
              </m:r>
            </m:den>
          </m:f>
        </m:oMath>
      </m:oMathPara>
    </w:p>
    <w:p w14:paraId="1E300EA6" w14:textId="77777777" w:rsidR="005A745D" w:rsidRPr="005A745D" w:rsidRDefault="005A745D" w:rsidP="005A745D">
      <w:pPr>
        <w:jc w:val="both"/>
        <w:rPr>
          <w:rFonts w:ascii="Verdana" w:hAnsi="Verdana"/>
          <w:sz w:val="22"/>
          <w:szCs w:val="22"/>
          <w:lang w:val="es-CO"/>
        </w:rPr>
      </w:pPr>
    </w:p>
    <w:p w14:paraId="34AEABCE"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 xml:space="preserve">Este enfoque asegura una convergencia gradual de la curva hacia la UFR, reflejando las expectativas de largo plazo. </w:t>
      </w:r>
    </w:p>
    <w:p w14:paraId="2C01CBD6" w14:textId="77777777" w:rsidR="005A745D" w:rsidRPr="005A745D" w:rsidRDefault="005A745D" w:rsidP="005A745D">
      <w:pPr>
        <w:jc w:val="both"/>
        <w:rPr>
          <w:rFonts w:ascii="Verdana" w:hAnsi="Verdana"/>
          <w:sz w:val="22"/>
          <w:szCs w:val="22"/>
          <w:lang w:val="es-CO"/>
        </w:rPr>
      </w:pPr>
    </w:p>
    <w:p w14:paraId="5BF5ADF4"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El método de Smith-Wilson no solo extrapola, sino que también interpola las tasas cero cupón en los plazos donde el mercado presenta suficiente liquidez para estimar tasas confiables. Este proceso utiliza como datos de entrada las tasas cero cupón observadas en los vencimientos líquidos</w:t>
      </w:r>
      <w:r w:rsidRPr="005A745D">
        <w:rPr>
          <w:rStyle w:val="Refdenotaalpie"/>
          <w:rFonts w:ascii="Verdana" w:hAnsi="Verdana"/>
          <w:sz w:val="22"/>
          <w:szCs w:val="22"/>
          <w:lang w:val="es-CO"/>
        </w:rPr>
        <w:footnoteReference w:id="8"/>
      </w:r>
      <w:r w:rsidRPr="005A745D">
        <w:rPr>
          <w:rFonts w:ascii="Verdana" w:hAnsi="Verdana"/>
          <w:sz w:val="22"/>
          <w:szCs w:val="22"/>
          <w:lang w:val="es-CO"/>
        </w:rPr>
        <w:t xml:space="preserve">. La extrapolación, por su parte, requiere determinar de manera precisa los plazos líquidos de la curva, </w:t>
      </w:r>
      <w:r w:rsidRPr="005A745D">
        <w:rPr>
          <w:rFonts w:ascii="Verdana" w:hAnsi="Verdana"/>
          <w:sz w:val="22"/>
          <w:szCs w:val="22"/>
          <w:lang w:val="es-CO"/>
        </w:rPr>
        <w:lastRenderedPageBreak/>
        <w:t>asegurando que los vencimientos líquidos sean consistentes con las condiciones de mercado, como se detalla en la sección 3.1. Por lo cual, tal como lo establece Santana (2008) las principales ventajas de esta metodología son las siguientes:</w:t>
      </w:r>
    </w:p>
    <w:p w14:paraId="7B1F41FA" w14:textId="77777777" w:rsidR="005A745D" w:rsidRPr="005A745D" w:rsidRDefault="005A745D" w:rsidP="005A745D">
      <w:pPr>
        <w:jc w:val="both"/>
        <w:rPr>
          <w:rFonts w:ascii="Verdana" w:hAnsi="Verdana"/>
          <w:sz w:val="22"/>
          <w:szCs w:val="22"/>
          <w:lang w:val="es-CO"/>
        </w:rPr>
      </w:pPr>
    </w:p>
    <w:p w14:paraId="793319F0" w14:textId="77777777" w:rsidR="005A745D" w:rsidRPr="005A745D" w:rsidRDefault="005A745D" w:rsidP="005A745D">
      <w:pPr>
        <w:pStyle w:val="Prrafodelista"/>
        <w:numPr>
          <w:ilvl w:val="0"/>
          <w:numId w:val="20"/>
        </w:numPr>
        <w:spacing w:line="278" w:lineRule="auto"/>
        <w:jc w:val="both"/>
        <w:rPr>
          <w:rFonts w:ascii="Verdana" w:eastAsia="Times New Roman" w:hAnsi="Verdana" w:cs="Times New Roman"/>
          <w:kern w:val="0"/>
          <w:lang w:val="es-ES_tradnl" w:eastAsia="es-ES"/>
          <w14:ligatures w14:val="none"/>
        </w:rPr>
      </w:pPr>
      <w:r w:rsidRPr="005A745D">
        <w:rPr>
          <w:rFonts w:ascii="Verdana" w:eastAsia="Times New Roman" w:hAnsi="Verdana" w:cs="Times New Roman"/>
          <w:kern w:val="0"/>
          <w:u w:val="single"/>
          <w:lang w:val="es-ES_tradnl" w:eastAsia="es-ES"/>
          <w14:ligatures w14:val="none"/>
        </w:rPr>
        <w:t>Consistencia en la valoración de pasivos</w:t>
      </w:r>
      <w:r w:rsidRPr="005A745D">
        <w:rPr>
          <w:rFonts w:ascii="Verdana" w:eastAsia="Times New Roman" w:hAnsi="Verdana" w:cs="Times New Roman"/>
          <w:kern w:val="0"/>
          <w:lang w:val="es-ES_tradnl" w:eastAsia="es-ES"/>
          <w14:ligatures w14:val="none"/>
        </w:rPr>
        <w:t>: permite calcular de manera precisa las obligaciones incluso en ausencia de datos de mercado para ciertos plazos, garantizando una valoración adecuada.</w:t>
      </w:r>
    </w:p>
    <w:p w14:paraId="387711C9" w14:textId="77777777" w:rsidR="005A745D" w:rsidRPr="005A745D" w:rsidRDefault="005A745D" w:rsidP="005A745D">
      <w:pPr>
        <w:pStyle w:val="Prrafodelista"/>
        <w:numPr>
          <w:ilvl w:val="0"/>
          <w:numId w:val="20"/>
        </w:numPr>
        <w:spacing w:line="278" w:lineRule="auto"/>
        <w:jc w:val="both"/>
        <w:rPr>
          <w:rFonts w:ascii="Verdana" w:eastAsia="Times New Roman" w:hAnsi="Verdana" w:cs="Times New Roman"/>
          <w:kern w:val="0"/>
          <w:u w:val="single"/>
          <w:lang w:val="es-ES_tradnl" w:eastAsia="es-ES"/>
          <w14:ligatures w14:val="none"/>
        </w:rPr>
      </w:pPr>
      <w:r w:rsidRPr="005A745D">
        <w:rPr>
          <w:rFonts w:ascii="Verdana" w:eastAsia="Times New Roman" w:hAnsi="Verdana" w:cs="Times New Roman"/>
          <w:kern w:val="0"/>
          <w:u w:val="single"/>
          <w:lang w:val="es-ES_tradnl" w:eastAsia="es-ES"/>
          <w14:ligatures w14:val="none"/>
        </w:rPr>
        <w:t>Mitigación de la volatilidad</w:t>
      </w:r>
      <w:r w:rsidRPr="005A745D">
        <w:rPr>
          <w:rFonts w:ascii="Verdana" w:eastAsia="Times New Roman" w:hAnsi="Verdana" w:cs="Times New Roman"/>
          <w:kern w:val="0"/>
          <w:lang w:val="es-ES_tradnl" w:eastAsia="es-ES"/>
          <w14:ligatures w14:val="none"/>
        </w:rPr>
        <w:t xml:space="preserve">: reduce la sensibilidad de las reservas técnicas a las fluctuaciones de corto plazo en las tasas de interés observadas, contribuyendo a una mayor estabilidad. </w:t>
      </w:r>
    </w:p>
    <w:p w14:paraId="4AF220C3" w14:textId="77777777" w:rsidR="005A745D" w:rsidRPr="005A745D" w:rsidRDefault="005A745D" w:rsidP="005A745D">
      <w:pPr>
        <w:pStyle w:val="Prrafodelista"/>
        <w:numPr>
          <w:ilvl w:val="0"/>
          <w:numId w:val="20"/>
        </w:numPr>
        <w:spacing w:line="278" w:lineRule="auto"/>
        <w:jc w:val="both"/>
        <w:rPr>
          <w:rFonts w:ascii="Verdana" w:eastAsia="Times New Roman" w:hAnsi="Verdana" w:cs="Times New Roman"/>
          <w:kern w:val="0"/>
          <w:u w:val="single"/>
          <w:lang w:val="es-ES_tradnl" w:eastAsia="es-ES"/>
          <w14:ligatures w14:val="none"/>
        </w:rPr>
      </w:pPr>
      <w:r w:rsidRPr="005A745D">
        <w:rPr>
          <w:rFonts w:ascii="Verdana" w:eastAsia="Times New Roman" w:hAnsi="Verdana" w:cs="Times New Roman"/>
          <w:kern w:val="0"/>
          <w:u w:val="single"/>
          <w:lang w:val="es-ES_tradnl" w:eastAsia="es-ES"/>
          <w14:ligatures w14:val="none"/>
        </w:rPr>
        <w:t>Convergencia a un valor objetivo a largo plazo</w:t>
      </w:r>
      <w:r w:rsidRPr="005A745D">
        <w:rPr>
          <w:rFonts w:ascii="Verdana" w:eastAsia="Times New Roman" w:hAnsi="Verdana" w:cs="Times New Roman"/>
          <w:kern w:val="0"/>
          <w:lang w:val="es-ES_tradnl" w:eastAsia="es-ES"/>
          <w14:ligatures w14:val="none"/>
        </w:rPr>
        <w:t>: asegura que la curva extrapolada converja gradualmente a la UFR, proporcionado una representación coherente de las expectativas económicas de largo plazo.</w:t>
      </w:r>
    </w:p>
    <w:p w14:paraId="45DFC363" w14:textId="77777777" w:rsidR="005A745D" w:rsidRPr="005A745D" w:rsidRDefault="005A745D" w:rsidP="005A745D">
      <w:pPr>
        <w:pStyle w:val="Prrafodelista"/>
        <w:numPr>
          <w:ilvl w:val="0"/>
          <w:numId w:val="20"/>
        </w:numPr>
        <w:spacing w:line="278" w:lineRule="auto"/>
        <w:jc w:val="both"/>
        <w:rPr>
          <w:rFonts w:ascii="Verdana" w:eastAsia="Times New Roman" w:hAnsi="Verdana" w:cs="Times New Roman"/>
          <w:kern w:val="0"/>
          <w:lang w:val="es-ES_tradnl" w:eastAsia="es-ES"/>
          <w14:ligatures w14:val="none"/>
        </w:rPr>
      </w:pPr>
      <w:r w:rsidRPr="005A745D">
        <w:rPr>
          <w:rFonts w:ascii="Verdana" w:eastAsia="Times New Roman" w:hAnsi="Verdana" w:cs="Times New Roman"/>
          <w:kern w:val="0"/>
          <w:u w:val="single"/>
          <w:lang w:val="es-ES_tradnl" w:eastAsia="es-ES"/>
          <w14:ligatures w14:val="none"/>
        </w:rPr>
        <w:t>Compatibilidad con las características de mercado</w:t>
      </w:r>
      <w:r w:rsidRPr="005A745D">
        <w:rPr>
          <w:rFonts w:ascii="Verdana" w:eastAsia="Times New Roman" w:hAnsi="Verdana" w:cs="Times New Roman"/>
          <w:kern w:val="0"/>
          <w:lang w:val="es-ES_tradnl" w:eastAsia="es-ES"/>
          <w14:ligatures w14:val="none"/>
        </w:rPr>
        <w:t>: ajusta las curvas para reflejar puntualmente las tasas observadas en los plazos líquidos mediante interpolación, y genera una curva estable y plausible para los plazos más allá del UPL a través de la extrapolación.</w:t>
      </w:r>
    </w:p>
    <w:p w14:paraId="3457920B" w14:textId="77777777" w:rsidR="005A745D" w:rsidRPr="005A745D" w:rsidRDefault="005A745D" w:rsidP="005A745D">
      <w:pPr>
        <w:jc w:val="both"/>
        <w:rPr>
          <w:rFonts w:ascii="Verdana" w:hAnsi="Verdana"/>
          <w:sz w:val="22"/>
          <w:szCs w:val="22"/>
          <w:lang w:val="es-CO"/>
        </w:rPr>
      </w:pPr>
      <w:r w:rsidRPr="005A745D">
        <w:rPr>
          <w:rFonts w:ascii="Verdana" w:hAnsi="Verdana"/>
          <w:sz w:val="22"/>
          <w:szCs w:val="22"/>
          <w:lang w:val="es-CO"/>
        </w:rPr>
        <w:t>Al graficar las metodologías (gráfica 1) mencionadas para las curvas cero cupón, se observa que las tasas calculadas con Smith-Wilson y Nelson &amp; Siegel son semejantes para los plazos en los cuales existen vencimientos de títulos líquidos. De esta forma, ambas metodologías arrojan resultados similares cuando se interpola, pero pueden presentar diferencias cuando se extrapola. Por consiguiente, este documento extrapola empleando Smith- Wilson convergiendo a la UFR, que se explica en la sección 3.3.</w:t>
      </w:r>
    </w:p>
    <w:p w14:paraId="1E8A8B1C" w14:textId="77777777" w:rsidR="005A745D" w:rsidRPr="005A745D" w:rsidRDefault="005A745D" w:rsidP="005A745D">
      <w:pPr>
        <w:jc w:val="both"/>
        <w:rPr>
          <w:rFonts w:ascii="Verdana" w:hAnsi="Verdana"/>
          <w:sz w:val="22"/>
          <w:szCs w:val="22"/>
          <w:lang w:val="es-CO"/>
        </w:rPr>
      </w:pPr>
    </w:p>
    <w:p w14:paraId="44078637" w14:textId="77777777" w:rsidR="005A745D" w:rsidRPr="005A745D" w:rsidRDefault="005A745D" w:rsidP="005A745D">
      <w:pPr>
        <w:keepNext/>
        <w:jc w:val="both"/>
        <w:rPr>
          <w:rFonts w:ascii="Verdana" w:hAnsi="Verdana"/>
          <w:sz w:val="22"/>
          <w:szCs w:val="22"/>
          <w:lang w:val="es-CO"/>
        </w:rPr>
      </w:pPr>
    </w:p>
    <w:p w14:paraId="6FB4CC09" w14:textId="77777777" w:rsidR="005A745D" w:rsidRPr="005A745D" w:rsidRDefault="005A745D" w:rsidP="005A745D">
      <w:pPr>
        <w:keepNext/>
        <w:jc w:val="center"/>
        <w:rPr>
          <w:rFonts w:ascii="Verdana" w:hAnsi="Verdana"/>
          <w:sz w:val="22"/>
          <w:szCs w:val="22"/>
          <w:lang w:val="es-CO"/>
        </w:rPr>
      </w:pPr>
      <w:r w:rsidRPr="005A745D">
        <w:rPr>
          <w:rFonts w:ascii="Verdana" w:hAnsi="Verdana"/>
          <w:b/>
          <w:bCs/>
          <w:iCs/>
          <w:sz w:val="22"/>
          <w:szCs w:val="22"/>
        </w:rPr>
        <w:t xml:space="preserve">Gráfica </w:t>
      </w:r>
      <w:r w:rsidRPr="005A745D">
        <w:rPr>
          <w:rFonts w:ascii="Verdana" w:hAnsi="Verdana"/>
          <w:b/>
          <w:bCs/>
          <w:iCs/>
          <w:sz w:val="22"/>
          <w:szCs w:val="22"/>
        </w:rPr>
        <w:fldChar w:fldCharType="begin"/>
      </w:r>
      <w:r w:rsidRPr="005A745D">
        <w:rPr>
          <w:rFonts w:ascii="Verdana" w:hAnsi="Verdana"/>
          <w:b/>
          <w:bCs/>
          <w:iCs/>
          <w:sz w:val="22"/>
          <w:szCs w:val="22"/>
        </w:rPr>
        <w:instrText xml:space="preserve"> SEQ Gráfica \* ARABIC </w:instrText>
      </w:r>
      <w:r w:rsidRPr="005A745D">
        <w:rPr>
          <w:rFonts w:ascii="Verdana" w:hAnsi="Verdana"/>
          <w:b/>
          <w:bCs/>
          <w:iCs/>
          <w:sz w:val="22"/>
          <w:szCs w:val="22"/>
        </w:rPr>
        <w:fldChar w:fldCharType="separate"/>
      </w:r>
      <w:r w:rsidRPr="005A745D">
        <w:rPr>
          <w:rFonts w:ascii="Verdana" w:hAnsi="Verdana"/>
          <w:b/>
          <w:bCs/>
          <w:iCs/>
          <w:sz w:val="22"/>
          <w:szCs w:val="22"/>
        </w:rPr>
        <w:t>1</w:t>
      </w:r>
      <w:r w:rsidRPr="005A745D">
        <w:rPr>
          <w:rFonts w:ascii="Verdana" w:hAnsi="Verdana"/>
          <w:b/>
          <w:bCs/>
          <w:iCs/>
          <w:sz w:val="22"/>
          <w:szCs w:val="22"/>
        </w:rPr>
        <w:fldChar w:fldCharType="end"/>
      </w:r>
      <w:r w:rsidRPr="005A745D">
        <w:rPr>
          <w:rFonts w:ascii="Verdana" w:hAnsi="Verdana"/>
          <w:b/>
          <w:bCs/>
          <w:iCs/>
          <w:sz w:val="22"/>
          <w:szCs w:val="22"/>
        </w:rPr>
        <w:t>. Curva cero cupón con las metodologías Smith-Wilson y Nelson &amp; Siegel</w:t>
      </w:r>
    </w:p>
    <w:p w14:paraId="0604703B" w14:textId="77777777" w:rsidR="005A745D" w:rsidRPr="005A745D" w:rsidRDefault="005A745D" w:rsidP="005A745D">
      <w:pPr>
        <w:keepNext/>
        <w:jc w:val="center"/>
        <w:rPr>
          <w:rFonts w:ascii="Verdana" w:hAnsi="Verdana"/>
          <w:sz w:val="22"/>
          <w:szCs w:val="22"/>
        </w:rPr>
      </w:pPr>
      <w:r w:rsidRPr="005A745D">
        <w:rPr>
          <w:rFonts w:ascii="Verdana" w:hAnsi="Verdana"/>
          <w:sz w:val="22"/>
          <w:szCs w:val="22"/>
        </w:rPr>
        <w:t xml:space="preserve"> </w:t>
      </w:r>
      <w:r w:rsidRPr="005A745D">
        <w:rPr>
          <w:rFonts w:ascii="Verdana" w:hAnsi="Verdana"/>
          <w:noProof/>
          <w:sz w:val="22"/>
          <w:szCs w:val="22"/>
          <w:lang w:val="es-CO" w:eastAsia="es-CO"/>
        </w:rPr>
        <w:drawing>
          <wp:inline distT="0" distB="0" distL="0" distR="0" wp14:anchorId="19D290D4" wp14:editId="3E0AD8C0">
            <wp:extent cx="5612130" cy="3329576"/>
            <wp:effectExtent l="0" t="0" r="762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329576"/>
                    </a:xfrm>
                    <a:prstGeom prst="rect">
                      <a:avLst/>
                    </a:prstGeom>
                    <a:noFill/>
                    <a:ln>
                      <a:noFill/>
                    </a:ln>
                  </pic:spPr>
                </pic:pic>
              </a:graphicData>
            </a:graphic>
          </wp:inline>
        </w:drawing>
      </w:r>
    </w:p>
    <w:p w14:paraId="73523DC1" w14:textId="77777777" w:rsidR="005A745D" w:rsidRPr="00BB3AAA" w:rsidRDefault="005A745D" w:rsidP="005A745D">
      <w:pPr>
        <w:keepNext/>
        <w:jc w:val="center"/>
        <w:rPr>
          <w:rFonts w:ascii="Verdana" w:hAnsi="Verdana"/>
          <w:sz w:val="16"/>
          <w:szCs w:val="16"/>
        </w:rPr>
      </w:pPr>
      <w:r w:rsidRPr="00BB3AAA">
        <w:rPr>
          <w:rFonts w:ascii="Verdana" w:hAnsi="Verdana"/>
          <w:sz w:val="16"/>
          <w:szCs w:val="16"/>
        </w:rPr>
        <w:t>Fuente: SFC.</w:t>
      </w:r>
    </w:p>
    <w:p w14:paraId="35180967" w14:textId="77777777" w:rsidR="005A745D" w:rsidRPr="005A745D" w:rsidRDefault="005A745D" w:rsidP="005A745D">
      <w:pPr>
        <w:jc w:val="both"/>
        <w:rPr>
          <w:rFonts w:ascii="Verdana" w:hAnsi="Verdana"/>
          <w:sz w:val="22"/>
          <w:szCs w:val="22"/>
        </w:rPr>
      </w:pPr>
    </w:p>
    <w:p w14:paraId="762D8AA8" w14:textId="77777777" w:rsidR="005A745D" w:rsidRPr="005A745D" w:rsidRDefault="005A745D" w:rsidP="005A745D">
      <w:pPr>
        <w:jc w:val="both"/>
        <w:rPr>
          <w:rFonts w:ascii="Verdana" w:hAnsi="Verdana"/>
          <w:sz w:val="22"/>
          <w:szCs w:val="22"/>
        </w:rPr>
      </w:pPr>
      <w:r w:rsidRPr="005A745D">
        <w:rPr>
          <w:rFonts w:ascii="Verdana" w:hAnsi="Verdana"/>
          <w:sz w:val="22"/>
          <w:szCs w:val="22"/>
        </w:rPr>
        <w:t>Es importante resaltar que, en Colombia, la valoración actual de los instrumentos renta fija se realiza utilizando el método de Nelson &amp; Siegel, lo cual asegura alineación entre las tasas observadas y las valoraciones de mercado. Por lo tanto, el uso de un método diferente, como Smith-Wilson, para el descuento de los flujos pasivos podría generar distorsiones entre las valoraciones de los activos y los pasivos. Por esta razón, se emplea Nelson &amp; Siegel como el método apropiado para descontar los flujos de pasivos para los plazos inferiores al UPL.</w:t>
      </w:r>
    </w:p>
    <w:p w14:paraId="4C2D51DB" w14:textId="77777777" w:rsidR="005A745D" w:rsidRPr="005A745D" w:rsidRDefault="005A745D" w:rsidP="005A745D">
      <w:pPr>
        <w:jc w:val="both"/>
        <w:rPr>
          <w:rFonts w:ascii="Verdana" w:hAnsi="Verdana"/>
          <w:sz w:val="22"/>
          <w:szCs w:val="22"/>
        </w:rPr>
      </w:pPr>
    </w:p>
    <w:p w14:paraId="01AA1E19" w14:textId="77777777" w:rsidR="005A745D" w:rsidRDefault="005A745D" w:rsidP="005A745D">
      <w:pPr>
        <w:jc w:val="both"/>
        <w:rPr>
          <w:rFonts w:ascii="Verdana" w:hAnsi="Verdana"/>
          <w:sz w:val="22"/>
          <w:szCs w:val="22"/>
        </w:rPr>
      </w:pPr>
      <w:r w:rsidRPr="005A745D">
        <w:rPr>
          <w:rFonts w:ascii="Verdana" w:hAnsi="Verdana"/>
          <w:sz w:val="22"/>
          <w:szCs w:val="22"/>
        </w:rPr>
        <w:t>En resumen, mientras que Nelson &amp; Siegel es adecuado para modelar curvas dentro de los plazos líquidos observables, Smith-Wilson es conveniente en el marco Solvencia II debido a su capacidad para extrapolar de manera robusta y consistente más allá del UPL, asegurando la convergencia al UFR requerida por la normativa.</w:t>
      </w:r>
    </w:p>
    <w:p w14:paraId="765148E5" w14:textId="77777777" w:rsidR="005A745D" w:rsidRPr="005A745D" w:rsidRDefault="005A745D" w:rsidP="005A745D">
      <w:pPr>
        <w:rPr>
          <w:rFonts w:ascii="Verdana" w:hAnsi="Verdana"/>
          <w:b/>
          <w:bCs/>
          <w:color w:val="1778BD"/>
          <w:sz w:val="22"/>
          <w:szCs w:val="22"/>
        </w:rPr>
      </w:pPr>
    </w:p>
    <w:p w14:paraId="276672A7" w14:textId="77777777" w:rsidR="005A745D" w:rsidRPr="005A745D" w:rsidRDefault="005A745D" w:rsidP="005A745D">
      <w:pPr>
        <w:pStyle w:val="Prrafodelista"/>
        <w:numPr>
          <w:ilvl w:val="1"/>
          <w:numId w:val="3"/>
        </w:numPr>
        <w:spacing w:line="278" w:lineRule="auto"/>
        <w:rPr>
          <w:rFonts w:ascii="Verdana" w:hAnsi="Verdana"/>
          <w:b/>
          <w:bCs/>
          <w:color w:val="1778BD"/>
        </w:rPr>
      </w:pPr>
      <w:r w:rsidRPr="005A745D">
        <w:rPr>
          <w:rFonts w:ascii="Verdana" w:hAnsi="Verdana"/>
          <w:b/>
          <w:bCs/>
          <w:color w:val="1778BD"/>
        </w:rPr>
        <w:t xml:space="preserve">Tasa límite de convergencia del mercado </w:t>
      </w:r>
    </w:p>
    <w:p w14:paraId="2049409E"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El objetivo principal de la tasa límite de convergencia del mercado (UFR, por sus siglas en inglés) en el marco de Solvencia II es asegurar una valoración estable y realista de los pasivos a largo plazo de las aseguradoras. Para ello, la UFR sirve </w:t>
      </w:r>
      <w:r w:rsidRPr="005A745D">
        <w:rPr>
          <w:rFonts w:ascii="Verdana" w:hAnsi="Verdana"/>
          <w:sz w:val="22"/>
          <w:szCs w:val="22"/>
        </w:rPr>
        <w:lastRenderedPageBreak/>
        <w:t>como una referencia hacia la cual convergen las tasas de interés a largo plazo, permitiendo extrapolar la curva más allá del UPL y garantizando así una mayor estabilidad en la valoración de las obligaciones (EIOPA, 2024).</w:t>
      </w:r>
    </w:p>
    <w:p w14:paraId="3540BFF8" w14:textId="77777777" w:rsidR="005A745D" w:rsidRPr="005A745D" w:rsidRDefault="005A745D" w:rsidP="005A745D">
      <w:pPr>
        <w:jc w:val="both"/>
        <w:rPr>
          <w:rFonts w:ascii="Verdana" w:hAnsi="Verdana"/>
          <w:sz w:val="22"/>
          <w:szCs w:val="22"/>
        </w:rPr>
      </w:pPr>
    </w:p>
    <w:p w14:paraId="10116D61" w14:textId="0EC5759E" w:rsidR="005A745D" w:rsidRPr="005A745D" w:rsidRDefault="005A745D" w:rsidP="005A745D">
      <w:pPr>
        <w:jc w:val="both"/>
        <w:rPr>
          <w:rFonts w:ascii="Verdana" w:hAnsi="Verdana"/>
          <w:sz w:val="22"/>
          <w:szCs w:val="22"/>
        </w:rPr>
      </w:pPr>
      <w:r w:rsidRPr="005A745D">
        <w:rPr>
          <w:rFonts w:ascii="Verdana" w:hAnsi="Verdana"/>
          <w:sz w:val="22"/>
          <w:szCs w:val="22"/>
        </w:rPr>
        <w:t xml:space="preserve">Este enfoque contribuye a mitigar la volatilidad generada por movimientos inesperados en las tasas de corto y mediano plazo. Por esta razón, EIOPA (2024) determina la UFR sumando la tasa </w:t>
      </w:r>
      <w:r w:rsidR="00472828">
        <w:rPr>
          <w:rFonts w:ascii="Verdana" w:hAnsi="Verdana"/>
          <w:sz w:val="22"/>
          <w:szCs w:val="22"/>
        </w:rPr>
        <w:t xml:space="preserve">de interés </w:t>
      </w:r>
      <w:r w:rsidRPr="005A745D">
        <w:rPr>
          <w:rFonts w:ascii="Verdana" w:hAnsi="Verdana"/>
          <w:sz w:val="22"/>
          <w:szCs w:val="22"/>
        </w:rPr>
        <w:t>real a largo plazo y la tasa de inflación esperada. Esta UFR se calcula anualmente, limitando sus variaciones a un máximo de 15pb por año, con el fin de evitar cambios abruptos en la valoración de los pasivos. En su informe para 2025 con respecto a la UFR, EIOPA estima una tasa real de 1,2%</w:t>
      </w:r>
      <w:r w:rsidRPr="005A745D">
        <w:rPr>
          <w:rStyle w:val="Refdenotaalpie"/>
          <w:rFonts w:ascii="Verdana" w:hAnsi="Verdana"/>
          <w:sz w:val="22"/>
          <w:szCs w:val="22"/>
        </w:rPr>
        <w:footnoteReference w:id="9"/>
      </w:r>
      <w:r w:rsidRPr="005A745D">
        <w:rPr>
          <w:rFonts w:ascii="Verdana" w:hAnsi="Verdana"/>
          <w:sz w:val="22"/>
          <w:szCs w:val="22"/>
        </w:rPr>
        <w:t xml:space="preserve"> y una inflación esperada de 3,0%</w:t>
      </w:r>
      <w:r w:rsidRPr="005A745D">
        <w:rPr>
          <w:rStyle w:val="Refdenotaalpie"/>
          <w:rFonts w:ascii="Verdana" w:hAnsi="Verdana"/>
          <w:sz w:val="22"/>
          <w:szCs w:val="22"/>
        </w:rPr>
        <w:footnoteReference w:id="10"/>
      </w:r>
      <w:r w:rsidRPr="005A745D">
        <w:rPr>
          <w:rFonts w:ascii="Verdana" w:hAnsi="Verdana"/>
          <w:sz w:val="22"/>
          <w:szCs w:val="22"/>
        </w:rPr>
        <w:t>, resultando en una UFR de 4,2% para Colombia.</w:t>
      </w:r>
    </w:p>
    <w:p w14:paraId="079DE561" w14:textId="77777777" w:rsidR="005A745D" w:rsidRPr="005A745D" w:rsidRDefault="005A745D" w:rsidP="005A745D">
      <w:pPr>
        <w:jc w:val="both"/>
        <w:rPr>
          <w:rFonts w:ascii="Verdana" w:hAnsi="Verdana"/>
          <w:sz w:val="22"/>
          <w:szCs w:val="22"/>
        </w:rPr>
      </w:pPr>
    </w:p>
    <w:p w14:paraId="4F75641F" w14:textId="708A613C" w:rsidR="005A745D" w:rsidRPr="005A745D" w:rsidRDefault="005A745D" w:rsidP="005A745D">
      <w:pPr>
        <w:jc w:val="both"/>
        <w:rPr>
          <w:rFonts w:ascii="Verdana" w:hAnsi="Verdana"/>
          <w:sz w:val="22"/>
          <w:szCs w:val="22"/>
        </w:rPr>
      </w:pPr>
      <w:r w:rsidRPr="005A745D">
        <w:rPr>
          <w:rFonts w:ascii="Verdana" w:hAnsi="Verdana"/>
          <w:sz w:val="22"/>
          <w:szCs w:val="22"/>
        </w:rPr>
        <w:t xml:space="preserve">Con el propósito de adaptar este parámetro a las condiciones locales, se propone considerar </w:t>
      </w:r>
      <w:r w:rsidR="00E45197">
        <w:rPr>
          <w:rFonts w:ascii="Verdana" w:hAnsi="Verdana"/>
          <w:sz w:val="22"/>
          <w:szCs w:val="22"/>
        </w:rPr>
        <w:t>la tasa real neutral</w:t>
      </w:r>
      <w:r w:rsidR="00E45197">
        <w:rPr>
          <w:rStyle w:val="Refdenotaalpie"/>
          <w:rFonts w:ascii="Verdana" w:hAnsi="Verdana"/>
          <w:sz w:val="22"/>
          <w:szCs w:val="22"/>
        </w:rPr>
        <w:footnoteReference w:id="11"/>
      </w:r>
      <w:r w:rsidR="00E45197">
        <w:rPr>
          <w:rFonts w:ascii="Verdana" w:hAnsi="Verdana"/>
          <w:sz w:val="22"/>
          <w:szCs w:val="22"/>
        </w:rPr>
        <w:t xml:space="preserve"> de Colombia, publicada</w:t>
      </w:r>
      <w:r w:rsidRPr="005A745D">
        <w:rPr>
          <w:rFonts w:ascii="Verdana" w:hAnsi="Verdana"/>
          <w:sz w:val="22"/>
          <w:szCs w:val="22"/>
        </w:rPr>
        <w:t xml:space="preserve"> trimestralmente en el Informe de Política Monet</w:t>
      </w:r>
      <w:r w:rsidR="00E45197">
        <w:rPr>
          <w:rFonts w:ascii="Verdana" w:hAnsi="Verdana"/>
          <w:sz w:val="22"/>
          <w:szCs w:val="22"/>
        </w:rPr>
        <w:t>aria del Banco de la República, teniendo en cuenta que esta tasa se puede considerar</w:t>
      </w:r>
      <w:r w:rsidRPr="005A745D">
        <w:rPr>
          <w:rFonts w:ascii="Verdana" w:hAnsi="Verdana"/>
          <w:sz w:val="22"/>
          <w:szCs w:val="22"/>
        </w:rPr>
        <w:t xml:space="preserve"> como </w:t>
      </w:r>
      <w:r w:rsidR="00E45197">
        <w:rPr>
          <w:rFonts w:ascii="Verdana" w:hAnsi="Verdana"/>
          <w:sz w:val="22"/>
          <w:szCs w:val="22"/>
        </w:rPr>
        <w:t xml:space="preserve">la tasa de interés real de la economía a largo plazo. </w:t>
      </w:r>
      <w:r w:rsidRPr="005A745D">
        <w:rPr>
          <w:rFonts w:ascii="Verdana" w:hAnsi="Verdana"/>
          <w:sz w:val="22"/>
          <w:szCs w:val="22"/>
        </w:rPr>
        <w:t xml:space="preserve">Por lo cual, utilizando como base </w:t>
      </w:r>
      <w:r w:rsidR="00E45197">
        <w:rPr>
          <w:rFonts w:ascii="Verdana" w:hAnsi="Verdana"/>
          <w:sz w:val="22"/>
          <w:szCs w:val="22"/>
        </w:rPr>
        <w:t>la tasa real neutral</w:t>
      </w:r>
      <w:r w:rsidRPr="005A745D">
        <w:rPr>
          <w:rFonts w:ascii="Verdana" w:hAnsi="Verdana"/>
          <w:sz w:val="22"/>
          <w:szCs w:val="22"/>
        </w:rPr>
        <w:t xml:space="preserve"> pa</w:t>
      </w:r>
      <w:r w:rsidR="00AE6CEF">
        <w:rPr>
          <w:rFonts w:ascii="Verdana" w:hAnsi="Verdana"/>
          <w:sz w:val="22"/>
          <w:szCs w:val="22"/>
        </w:rPr>
        <w:t>ra la definición de la UFR, esta se sitúa para 2025 en 2,7</w:t>
      </w:r>
      <w:r w:rsidRPr="005A745D">
        <w:rPr>
          <w:rFonts w:ascii="Verdana" w:hAnsi="Verdana"/>
          <w:sz w:val="22"/>
          <w:szCs w:val="22"/>
        </w:rPr>
        <w:t>%</w:t>
      </w:r>
      <w:r w:rsidR="00AE6CEF">
        <w:rPr>
          <w:rStyle w:val="Refdenotaalpie"/>
          <w:rFonts w:ascii="Verdana" w:hAnsi="Verdana"/>
          <w:sz w:val="22"/>
          <w:szCs w:val="22"/>
        </w:rPr>
        <w:footnoteReference w:id="12"/>
      </w:r>
      <w:r w:rsidR="00AE6CEF">
        <w:rPr>
          <w:rFonts w:ascii="Verdana" w:hAnsi="Verdana"/>
          <w:sz w:val="22"/>
          <w:szCs w:val="22"/>
        </w:rPr>
        <w:t>.</w:t>
      </w:r>
      <w:r w:rsidRPr="005A745D">
        <w:rPr>
          <w:rFonts w:ascii="Verdana" w:hAnsi="Verdana"/>
          <w:sz w:val="22"/>
          <w:szCs w:val="22"/>
        </w:rPr>
        <w:t xml:space="preserve"> </w:t>
      </w:r>
    </w:p>
    <w:p w14:paraId="658EE7B4" w14:textId="77777777" w:rsidR="005A745D" w:rsidRPr="005A745D" w:rsidRDefault="005A745D" w:rsidP="005A745D">
      <w:pPr>
        <w:jc w:val="both"/>
        <w:rPr>
          <w:rFonts w:ascii="Verdana" w:hAnsi="Verdana"/>
          <w:sz w:val="22"/>
          <w:szCs w:val="22"/>
        </w:rPr>
      </w:pPr>
    </w:p>
    <w:p w14:paraId="365BDA8E" w14:textId="77777777" w:rsidR="005A745D" w:rsidRPr="005A745D" w:rsidRDefault="005A745D" w:rsidP="005A745D">
      <w:pPr>
        <w:jc w:val="both"/>
        <w:rPr>
          <w:rFonts w:ascii="Verdana" w:hAnsi="Verdana"/>
          <w:sz w:val="22"/>
          <w:szCs w:val="22"/>
        </w:rPr>
      </w:pPr>
      <w:r w:rsidRPr="005A745D">
        <w:rPr>
          <w:rFonts w:ascii="Verdana" w:hAnsi="Verdana"/>
          <w:sz w:val="22"/>
          <w:szCs w:val="22"/>
        </w:rPr>
        <w:t>Esta alternativa presenta varios beneficios:</w:t>
      </w:r>
    </w:p>
    <w:p w14:paraId="7CDC3E38"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 </w:t>
      </w:r>
    </w:p>
    <w:p w14:paraId="284BD2DF" w14:textId="273543CB" w:rsidR="005A745D" w:rsidRPr="005A745D" w:rsidRDefault="005A745D" w:rsidP="005A745D">
      <w:pPr>
        <w:pStyle w:val="Prrafodelista"/>
        <w:numPr>
          <w:ilvl w:val="0"/>
          <w:numId w:val="5"/>
        </w:numPr>
        <w:spacing w:line="278" w:lineRule="auto"/>
        <w:jc w:val="both"/>
        <w:rPr>
          <w:rFonts w:ascii="Verdana" w:hAnsi="Verdana"/>
          <w:b/>
          <w:bCs/>
        </w:rPr>
      </w:pPr>
      <w:r w:rsidRPr="005A745D">
        <w:rPr>
          <w:rFonts w:ascii="Verdana" w:hAnsi="Verdana"/>
          <w:u w:val="single"/>
        </w:rPr>
        <w:t>Mayor flexibilidad y autonomía</w:t>
      </w:r>
      <w:r w:rsidRPr="005A745D">
        <w:rPr>
          <w:rFonts w:ascii="Verdana" w:hAnsi="Verdana"/>
        </w:rPr>
        <w:t xml:space="preserve">: </w:t>
      </w:r>
      <w:r w:rsidR="00AE6CEF">
        <w:rPr>
          <w:rFonts w:ascii="Verdana" w:hAnsi="Verdana"/>
        </w:rPr>
        <w:t>la tasa de interés real neutral</w:t>
      </w:r>
      <w:r w:rsidRPr="005A745D">
        <w:rPr>
          <w:rFonts w:ascii="Verdana" w:hAnsi="Verdana"/>
        </w:rPr>
        <w:t xml:space="preserve"> se publica trimestralmente, lo que permite actualizaciones más frecuentes y oportunas de la UFR </w:t>
      </w:r>
      <w:r w:rsidR="00AE6CEF">
        <w:rPr>
          <w:rFonts w:ascii="Verdana" w:hAnsi="Verdana"/>
        </w:rPr>
        <w:t>cuando sea</w:t>
      </w:r>
      <w:r w:rsidRPr="005A745D">
        <w:rPr>
          <w:rFonts w:ascii="Verdana" w:hAnsi="Verdana"/>
        </w:rPr>
        <w:t xml:space="preserve"> necesario. </w:t>
      </w:r>
    </w:p>
    <w:p w14:paraId="7FE57778" w14:textId="77777777" w:rsidR="005A745D" w:rsidRPr="005A745D" w:rsidRDefault="005A745D" w:rsidP="005A745D">
      <w:pPr>
        <w:pStyle w:val="Prrafodelista"/>
        <w:numPr>
          <w:ilvl w:val="0"/>
          <w:numId w:val="5"/>
        </w:numPr>
        <w:spacing w:line="278" w:lineRule="auto"/>
        <w:jc w:val="both"/>
        <w:rPr>
          <w:rFonts w:ascii="Verdana" w:hAnsi="Verdana"/>
          <w:b/>
          <w:bCs/>
        </w:rPr>
      </w:pPr>
      <w:r w:rsidRPr="005A745D">
        <w:rPr>
          <w:rFonts w:ascii="Verdana" w:hAnsi="Verdana"/>
          <w:u w:val="single"/>
        </w:rPr>
        <w:t>Alineación con la realidad local</w:t>
      </w:r>
      <w:r w:rsidRPr="005A745D">
        <w:rPr>
          <w:rFonts w:ascii="Verdana" w:hAnsi="Verdana"/>
        </w:rPr>
        <w:t>:</w:t>
      </w:r>
      <w:r w:rsidRPr="005A745D">
        <w:rPr>
          <w:rFonts w:ascii="Verdana" w:hAnsi="Verdana"/>
          <w:b/>
          <w:bCs/>
        </w:rPr>
        <w:t xml:space="preserve"> </w:t>
      </w:r>
      <w:r w:rsidRPr="005A745D">
        <w:rPr>
          <w:rFonts w:ascii="Verdana" w:hAnsi="Verdana"/>
        </w:rPr>
        <w:t xml:space="preserve">el uso de un indicador macroeconómico nacional ofrece una referencia más coherente con las características y condiciones del mercado colombiano. </w:t>
      </w:r>
    </w:p>
    <w:p w14:paraId="21253B38" w14:textId="1EF41730" w:rsidR="005A745D" w:rsidRPr="005A745D" w:rsidRDefault="005A745D" w:rsidP="005A745D">
      <w:pPr>
        <w:pStyle w:val="Prrafodelista"/>
        <w:numPr>
          <w:ilvl w:val="0"/>
          <w:numId w:val="5"/>
        </w:numPr>
        <w:spacing w:line="278" w:lineRule="auto"/>
        <w:jc w:val="both"/>
        <w:rPr>
          <w:rFonts w:ascii="Verdana" w:hAnsi="Verdana"/>
          <w:b/>
          <w:bCs/>
        </w:rPr>
      </w:pPr>
      <w:r w:rsidRPr="005A745D">
        <w:rPr>
          <w:rFonts w:ascii="Verdana" w:hAnsi="Verdana"/>
          <w:u w:val="single"/>
        </w:rPr>
        <w:t>Diferenciación por tipo de curva</w:t>
      </w:r>
      <w:r w:rsidRPr="005A745D">
        <w:rPr>
          <w:rFonts w:ascii="Verdana" w:hAnsi="Verdana"/>
        </w:rPr>
        <w:t>:</w:t>
      </w:r>
      <w:r w:rsidRPr="005A745D">
        <w:rPr>
          <w:rFonts w:ascii="Verdana" w:hAnsi="Verdana"/>
          <w:b/>
          <w:bCs/>
        </w:rPr>
        <w:t xml:space="preserve"> </w:t>
      </w:r>
      <w:r w:rsidRPr="005A745D">
        <w:rPr>
          <w:rFonts w:ascii="Verdana" w:hAnsi="Verdana"/>
        </w:rPr>
        <w:t>mientras</w:t>
      </w:r>
      <w:r w:rsidRPr="005A745D">
        <w:rPr>
          <w:rFonts w:ascii="Verdana" w:hAnsi="Verdana"/>
          <w:b/>
          <w:bCs/>
        </w:rPr>
        <w:t xml:space="preserve"> </w:t>
      </w:r>
      <w:r w:rsidRPr="005A745D">
        <w:rPr>
          <w:rFonts w:ascii="Verdana" w:hAnsi="Verdana"/>
        </w:rPr>
        <w:t>la metodología</w:t>
      </w:r>
      <w:r w:rsidRPr="005A745D">
        <w:rPr>
          <w:rFonts w:ascii="Verdana" w:hAnsi="Verdana"/>
          <w:b/>
          <w:bCs/>
        </w:rPr>
        <w:t xml:space="preserve"> </w:t>
      </w:r>
      <w:r w:rsidRPr="005A745D">
        <w:rPr>
          <w:rFonts w:ascii="Verdana" w:hAnsi="Verdana"/>
        </w:rPr>
        <w:t xml:space="preserve">estándar resultaría en una única UFR (4,2%) para curvas en pesos y en UVR; el otro enfoque usa </w:t>
      </w:r>
      <w:r w:rsidR="00AE6CEF">
        <w:rPr>
          <w:rFonts w:ascii="Verdana" w:hAnsi="Verdana"/>
        </w:rPr>
        <w:t>la tasa de interés real neutral</w:t>
      </w:r>
      <w:r w:rsidRPr="005A745D">
        <w:rPr>
          <w:rFonts w:ascii="Verdana" w:hAnsi="Verdana"/>
        </w:rPr>
        <w:t xml:space="preserve"> (2,7%) para la curva en UVR y considera la suma de la inflación objetivo para la curva en pesos (5,7%). Esto proporcionaría valores más ajustados a las particularidades </w:t>
      </w:r>
      <w:r w:rsidRPr="005A745D">
        <w:rPr>
          <w:rFonts w:ascii="Verdana" w:hAnsi="Verdana"/>
        </w:rPr>
        <w:lastRenderedPageBreak/>
        <w:t>de cada instrumento, reflejando así una valoración más precisa y acorde a la situación económica local.</w:t>
      </w:r>
    </w:p>
    <w:p w14:paraId="09FADFD0" w14:textId="77777777" w:rsidR="00D47D82" w:rsidRDefault="00D47D82" w:rsidP="005A745D">
      <w:pPr>
        <w:jc w:val="both"/>
        <w:rPr>
          <w:rFonts w:ascii="Verdana" w:hAnsi="Verdana"/>
          <w:sz w:val="22"/>
          <w:szCs w:val="22"/>
          <w:lang w:val="es-CO"/>
        </w:rPr>
      </w:pPr>
    </w:p>
    <w:p w14:paraId="2C5D9A4D" w14:textId="373DD40A" w:rsidR="005A745D" w:rsidRPr="005A745D" w:rsidRDefault="005A745D" w:rsidP="005A745D">
      <w:pPr>
        <w:jc w:val="both"/>
        <w:rPr>
          <w:rFonts w:ascii="Verdana" w:hAnsi="Verdana"/>
          <w:sz w:val="22"/>
          <w:szCs w:val="22"/>
        </w:rPr>
      </w:pPr>
      <w:r w:rsidRPr="005A745D">
        <w:rPr>
          <w:rFonts w:ascii="Verdana" w:hAnsi="Verdana"/>
          <w:sz w:val="22"/>
          <w:szCs w:val="22"/>
          <w:lang w:val="es-CO"/>
        </w:rPr>
        <w:t xml:space="preserve">Se </w:t>
      </w:r>
      <w:r w:rsidRPr="005A745D">
        <w:rPr>
          <w:rFonts w:ascii="Verdana" w:hAnsi="Verdana"/>
          <w:sz w:val="22"/>
          <w:szCs w:val="22"/>
        </w:rPr>
        <w:t xml:space="preserve">considera que para fines de este documento </w:t>
      </w:r>
      <w:r w:rsidR="00AE6CEF">
        <w:rPr>
          <w:rFonts w:ascii="Verdana" w:hAnsi="Verdana"/>
          <w:sz w:val="22"/>
          <w:szCs w:val="22"/>
        </w:rPr>
        <w:t>la tasa de interés real neutral</w:t>
      </w:r>
      <w:r w:rsidRPr="005A745D">
        <w:rPr>
          <w:rFonts w:ascii="Verdana" w:hAnsi="Verdana"/>
          <w:sz w:val="22"/>
          <w:szCs w:val="22"/>
        </w:rPr>
        <w:t xml:space="preserve"> de Colombia se utilizará como UFR para la curva en UVR y la suma con la inflación objetivo para la curva en pesos. Adicionalmente, adoptando el estándar sugerido por EIOPA la UFR no podrá variar </w:t>
      </w:r>
      <m:oMath>
        <m:r>
          <w:rPr>
            <w:rFonts w:ascii="Cambria Math" w:hAnsi="Cambria Math"/>
            <w:sz w:val="22"/>
            <w:szCs w:val="22"/>
          </w:rPr>
          <m:t>±</m:t>
        </m:r>
      </m:oMath>
      <w:r w:rsidRPr="005A745D">
        <w:rPr>
          <w:rFonts w:ascii="Verdana" w:hAnsi="Verdana"/>
          <w:sz w:val="22"/>
          <w:szCs w:val="22"/>
        </w:rPr>
        <w:t xml:space="preserve"> 15pb. Por lo tanto, al evaluar un posible cambio de la UFR, esta podrá tomar un valor entre 2,55% y 2,85%</w:t>
      </w:r>
      <w:r w:rsidRPr="005A745D">
        <w:rPr>
          <w:rStyle w:val="Refdenotaalpie"/>
          <w:rFonts w:ascii="Verdana" w:hAnsi="Verdana"/>
          <w:sz w:val="22"/>
          <w:szCs w:val="22"/>
        </w:rPr>
        <w:footnoteReference w:id="13"/>
      </w:r>
      <w:r w:rsidRPr="005A745D">
        <w:rPr>
          <w:rFonts w:ascii="Verdana" w:hAnsi="Verdana"/>
          <w:sz w:val="22"/>
          <w:szCs w:val="22"/>
        </w:rPr>
        <w:t xml:space="preserve">. Es importante destacar que el promedio de la variación anual </w:t>
      </w:r>
      <w:r w:rsidR="008846F0">
        <w:rPr>
          <w:rFonts w:ascii="Verdana" w:hAnsi="Verdana"/>
          <w:sz w:val="22"/>
          <w:szCs w:val="22"/>
        </w:rPr>
        <w:t>de la tasa de interés real neutral</w:t>
      </w:r>
      <w:r w:rsidRPr="005A745D">
        <w:rPr>
          <w:rFonts w:ascii="Verdana" w:hAnsi="Verdana"/>
          <w:sz w:val="22"/>
          <w:szCs w:val="22"/>
        </w:rPr>
        <w:t xml:space="preserve"> es de -0,1 puntos porcentuales en los últimos 15 años, lo que refleja estabilidad en el parámetro. </w:t>
      </w:r>
    </w:p>
    <w:p w14:paraId="1DF55657" w14:textId="77777777" w:rsidR="005A745D" w:rsidRPr="005A745D" w:rsidRDefault="005A745D" w:rsidP="005A745D">
      <w:pPr>
        <w:keepNext/>
        <w:rPr>
          <w:rFonts w:ascii="Verdana" w:hAnsi="Verdana"/>
          <w:b/>
          <w:bCs/>
          <w:color w:val="1778BD"/>
          <w:sz w:val="22"/>
          <w:szCs w:val="22"/>
        </w:rPr>
      </w:pPr>
    </w:p>
    <w:p w14:paraId="67FDFD54" w14:textId="77777777" w:rsidR="005A745D" w:rsidRPr="005A745D" w:rsidRDefault="005A745D" w:rsidP="005A745D">
      <w:pPr>
        <w:pStyle w:val="Prrafodelista"/>
        <w:keepNext/>
        <w:numPr>
          <w:ilvl w:val="1"/>
          <w:numId w:val="3"/>
        </w:numPr>
        <w:spacing w:line="278" w:lineRule="auto"/>
        <w:rPr>
          <w:rFonts w:ascii="Verdana" w:hAnsi="Verdana"/>
          <w:b/>
          <w:bCs/>
          <w:color w:val="1778BD"/>
        </w:rPr>
      </w:pPr>
      <w:r w:rsidRPr="005A745D">
        <w:rPr>
          <w:rFonts w:ascii="Verdana" w:hAnsi="Verdana"/>
          <w:b/>
          <w:bCs/>
          <w:color w:val="1778BD"/>
        </w:rPr>
        <w:t>Periodo de convergencia</w:t>
      </w:r>
    </w:p>
    <w:p w14:paraId="15EC626D" w14:textId="77777777" w:rsidR="005A745D" w:rsidRPr="005A745D" w:rsidRDefault="005A745D" w:rsidP="005A745D">
      <w:pPr>
        <w:keepNext/>
        <w:jc w:val="both"/>
        <w:rPr>
          <w:rFonts w:ascii="Verdana" w:hAnsi="Verdana"/>
          <w:sz w:val="22"/>
          <w:szCs w:val="22"/>
        </w:rPr>
      </w:pPr>
      <w:r w:rsidRPr="005A745D">
        <w:rPr>
          <w:rFonts w:ascii="Verdana" w:hAnsi="Verdana"/>
          <w:sz w:val="22"/>
          <w:szCs w:val="22"/>
        </w:rPr>
        <w:t xml:space="preserve">En la metodología de Smith-Wilson el periodo de convergencia se refiere al momento a partir del cual la tasa forward de corto plazo converge gradualmente hacia la UFR. Según EIOPA (2023), para el euro, este periodo de convergencia está definido como 40 años después del UPL, el cual es de 20 años. Esto significa que, a partir del UPL, las tasas forward comienzan a ajustarse hacia la UFR, alcanzando un nivel cercano al definitivo en un plazo total de </w:t>
      </w:r>
      <m:oMath>
        <m:r>
          <w:rPr>
            <w:rFonts w:ascii="Cambria Math" w:hAnsi="Cambria Math"/>
            <w:sz w:val="22"/>
            <w:szCs w:val="22"/>
          </w:rPr>
          <m:t>20+40 =60</m:t>
        </m:r>
      </m:oMath>
      <w:r w:rsidRPr="005A745D">
        <w:rPr>
          <w:rFonts w:ascii="Verdana" w:hAnsi="Verdana"/>
          <w:sz w:val="22"/>
          <w:szCs w:val="22"/>
        </w:rPr>
        <w:t xml:space="preserve"> años de vencimiento.</w:t>
      </w:r>
    </w:p>
    <w:p w14:paraId="28889A15" w14:textId="77777777" w:rsidR="005A745D" w:rsidRPr="005A745D" w:rsidRDefault="005A745D" w:rsidP="005A745D">
      <w:pPr>
        <w:keepNext/>
        <w:jc w:val="both"/>
        <w:rPr>
          <w:rFonts w:ascii="Verdana" w:hAnsi="Verdana"/>
          <w:sz w:val="22"/>
          <w:szCs w:val="22"/>
        </w:rPr>
      </w:pPr>
    </w:p>
    <w:p w14:paraId="1B8BF119"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Aunque EIOPA (2023) no establece puntos de convergencia específicos para economías emergentes, el marco regulatorio aplica un horizonte estándar de 40 años para la convergencia hacia la UFR, independientemente de si la economía es emergente o desarrollada. Sin embargo, reconoce que las características de los mercados financieros pueden variar, especialmente en economías emergentes, donde los mercados financieros tienden a tener menor liquidez en los tramos largos de la curva, la volatilidad de las tasas de interés es mayor y hay una dependencia de puntos de referencia globales como el dólar estadounidense o el euro. </w:t>
      </w:r>
    </w:p>
    <w:p w14:paraId="62ACFAE9" w14:textId="77777777" w:rsidR="005A745D" w:rsidRPr="005A745D" w:rsidRDefault="005A745D" w:rsidP="005A745D">
      <w:pPr>
        <w:jc w:val="both"/>
        <w:rPr>
          <w:rFonts w:ascii="Verdana" w:hAnsi="Verdana"/>
          <w:sz w:val="22"/>
          <w:szCs w:val="22"/>
        </w:rPr>
      </w:pPr>
    </w:p>
    <w:p w14:paraId="2122AAA4"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Estos factores pueden hacer que el UPL en estas economías sea significativamente más corto (por ejemplo, 10-15 años). Aun así, EIOPA (2023) mantiene el horizonte de convergencia hacia la UFR en 40 años, por estar diseñado para reflejar la estabilidad de largo plazo que debe tener la valoración de los pasivos. Por lo tanto, para monedas distintas del euro, EIOPA propone un periodo de convergencia como el </w:t>
      </w:r>
      <m:oMath>
        <m:r>
          <w:rPr>
            <w:rFonts w:ascii="Cambria Math" w:hAnsi="Cambria Math"/>
            <w:sz w:val="22"/>
            <w:szCs w:val="22"/>
          </w:rPr>
          <m:t>Max{</m:t>
        </m:r>
        <m:d>
          <m:dPr>
            <m:ctrlPr>
              <w:rPr>
                <w:rFonts w:ascii="Cambria Math" w:hAnsi="Cambria Math"/>
                <w:i/>
                <w:sz w:val="22"/>
                <w:szCs w:val="22"/>
              </w:rPr>
            </m:ctrlPr>
          </m:dPr>
          <m:e>
            <m:r>
              <w:rPr>
                <w:rFonts w:ascii="Cambria Math" w:hAnsi="Cambria Math"/>
                <w:sz w:val="22"/>
                <w:szCs w:val="22"/>
              </w:rPr>
              <m:t>UPL+40 años</m:t>
            </m:r>
          </m:e>
        </m:d>
        <m:r>
          <w:rPr>
            <w:rFonts w:ascii="Cambria Math" w:hAnsi="Cambria Math"/>
            <w:sz w:val="22"/>
            <w:szCs w:val="22"/>
          </w:rPr>
          <m:t>, 60 años}</m:t>
        </m:r>
      </m:oMath>
      <w:r w:rsidRPr="005A745D">
        <w:rPr>
          <w:rFonts w:ascii="Verdana" w:hAnsi="Verdana"/>
          <w:sz w:val="22"/>
          <w:szCs w:val="22"/>
        </w:rPr>
        <w:t xml:space="preserve">. Como consecuencia, en el 2025 el periodo de convergencia para Colombia según el </w:t>
      </w:r>
      <w:r w:rsidRPr="005A745D">
        <w:rPr>
          <w:rFonts w:ascii="Verdana" w:hAnsi="Verdana"/>
          <w:sz w:val="22"/>
          <w:szCs w:val="22"/>
        </w:rPr>
        <w:lastRenderedPageBreak/>
        <w:t>estándar internacional sería 60 años, tomando como UPL 10 años como lo propone EIOPA.</w:t>
      </w:r>
    </w:p>
    <w:p w14:paraId="49F921EE" w14:textId="77777777" w:rsidR="005A745D" w:rsidRPr="005A745D" w:rsidRDefault="005A745D" w:rsidP="005A745D">
      <w:pPr>
        <w:jc w:val="both"/>
        <w:rPr>
          <w:rFonts w:ascii="Verdana" w:hAnsi="Verdana"/>
          <w:sz w:val="22"/>
          <w:szCs w:val="22"/>
        </w:rPr>
      </w:pPr>
    </w:p>
    <w:p w14:paraId="759784D2" w14:textId="77777777" w:rsidR="005A745D" w:rsidRPr="005A745D" w:rsidRDefault="005A745D" w:rsidP="005A745D">
      <w:pPr>
        <w:jc w:val="both"/>
        <w:rPr>
          <w:rFonts w:ascii="Verdana" w:hAnsi="Verdana"/>
          <w:sz w:val="22"/>
          <w:szCs w:val="22"/>
        </w:rPr>
      </w:pPr>
      <w:r w:rsidRPr="005A745D">
        <w:rPr>
          <w:rFonts w:ascii="Verdana" w:hAnsi="Verdana"/>
          <w:sz w:val="22"/>
          <w:szCs w:val="22"/>
        </w:rPr>
        <w:t>Este documento, sin embargo, establece un periodo de convergencia que dependerá del UPL, el cual, como se definió en la sección 3.1, será dinámico y estará determinado por el mayor vencimiento del último TES emitido en pesos y en UVR. En este contexto, para el año 2025, según la ecuación propuesta por EIOPA, se ha definido que el período de convergencia será de 66 años y 65 años para la curva en pesos y en UVR, respectivamente. Este planteamiento refleja las condiciones específicas del mercado local y la estructura temporal de las emisiones de deuda pública.</w:t>
      </w:r>
    </w:p>
    <w:p w14:paraId="50CF5291" w14:textId="77777777" w:rsidR="005A745D" w:rsidRPr="005A745D" w:rsidRDefault="005A745D" w:rsidP="005A745D">
      <w:pPr>
        <w:rPr>
          <w:rFonts w:ascii="Verdana" w:hAnsi="Verdana"/>
          <w:b/>
          <w:bCs/>
          <w:color w:val="1778BD"/>
          <w:sz w:val="22"/>
          <w:szCs w:val="22"/>
        </w:rPr>
      </w:pPr>
    </w:p>
    <w:p w14:paraId="3C9F5C44" w14:textId="77777777" w:rsidR="005A745D" w:rsidRPr="005A745D" w:rsidRDefault="005A745D" w:rsidP="005A745D">
      <w:pPr>
        <w:pStyle w:val="Prrafodelista"/>
        <w:numPr>
          <w:ilvl w:val="1"/>
          <w:numId w:val="3"/>
        </w:numPr>
        <w:spacing w:line="278" w:lineRule="auto"/>
        <w:rPr>
          <w:rFonts w:ascii="Verdana" w:hAnsi="Verdana"/>
          <w:b/>
          <w:bCs/>
          <w:color w:val="1778BD"/>
        </w:rPr>
      </w:pPr>
      <w:r w:rsidRPr="005A745D">
        <w:rPr>
          <w:rFonts w:ascii="Verdana" w:hAnsi="Verdana"/>
          <w:b/>
          <w:bCs/>
          <w:color w:val="1778BD"/>
        </w:rPr>
        <w:t>Plazo máximo</w:t>
      </w:r>
    </w:p>
    <w:p w14:paraId="48A38381" w14:textId="77777777" w:rsidR="005A745D" w:rsidRPr="005A745D" w:rsidRDefault="005A745D" w:rsidP="005A745D">
      <w:pPr>
        <w:jc w:val="both"/>
        <w:rPr>
          <w:rFonts w:ascii="Verdana" w:hAnsi="Verdana"/>
          <w:noProof/>
          <w:sz w:val="22"/>
          <w:szCs w:val="22"/>
        </w:rPr>
      </w:pPr>
      <w:r w:rsidRPr="005A745D">
        <w:rPr>
          <w:rFonts w:ascii="Verdana" w:hAnsi="Verdana"/>
          <w:noProof/>
          <w:sz w:val="22"/>
          <w:szCs w:val="22"/>
        </w:rPr>
        <w:t xml:space="preserve">El plazo máximo se refiere al horizonte temporal más extenso para el cual se calcula y publica la tasa libre de riesgo. En este sentido, EIOPA (2023) define un plazo máximo de 150 años, publicando la tasa libre de riesgo hasta dicho periodo. Este amplio horizonte permite a las aseguradoras valorar sus pasivos y cumplir con obligaciones a futuro, sin importar que tan lejanas sean en el tiempo. Además, evita la necesidad de extrapolaciones más allá de lo publicado, reduciendo la incertidumbre en la valoración de los pasivos. </w:t>
      </w:r>
    </w:p>
    <w:p w14:paraId="43F8CDCB" w14:textId="77777777" w:rsidR="005A745D" w:rsidRPr="005A745D" w:rsidRDefault="005A745D" w:rsidP="005A745D">
      <w:pPr>
        <w:jc w:val="both"/>
        <w:rPr>
          <w:rFonts w:ascii="Verdana" w:hAnsi="Verdana"/>
          <w:noProof/>
          <w:sz w:val="22"/>
          <w:szCs w:val="22"/>
        </w:rPr>
      </w:pPr>
    </w:p>
    <w:p w14:paraId="3AFBCE19" w14:textId="77777777" w:rsidR="005A745D" w:rsidRPr="005A745D" w:rsidRDefault="005A745D" w:rsidP="005A745D">
      <w:pPr>
        <w:jc w:val="both"/>
        <w:rPr>
          <w:rFonts w:ascii="Verdana" w:hAnsi="Verdana"/>
          <w:noProof/>
          <w:sz w:val="22"/>
          <w:szCs w:val="22"/>
        </w:rPr>
      </w:pPr>
      <w:r w:rsidRPr="005A745D">
        <w:rPr>
          <w:rFonts w:ascii="Verdana" w:hAnsi="Verdana"/>
          <w:noProof/>
          <w:sz w:val="22"/>
          <w:szCs w:val="22"/>
        </w:rPr>
        <w:t>En el caso de la tasa libre de riesgo en Colombia, el plazo máximo se puede asociar a partir de las tablas de mortalidad, publicadas por la SFC, que deben ser utilizadas por las compañías de seguros de vida como base para el cálculo de las tarifas y las respectivas reservas técnicas, las cuales consideran una edad actuarial máxima de 110 años. Sin embargo, considerando la necesidad de ofrecer mayor flexibilidad y evitar posibles estimaciones adicionales en los contratos de seguros con respecto a la CRLR y en línea con las prácticas de EIOPA, este documento propone ampliar el plazo máximo a 120 años, ajustándolo a las características y proyecciones demográficas del país.</w:t>
      </w:r>
    </w:p>
    <w:p w14:paraId="691E5764" w14:textId="77777777" w:rsidR="005A745D" w:rsidRPr="005A745D" w:rsidRDefault="005A745D" w:rsidP="005A745D">
      <w:pPr>
        <w:jc w:val="both"/>
        <w:rPr>
          <w:rFonts w:ascii="Verdana" w:hAnsi="Verdana"/>
          <w:noProof/>
          <w:sz w:val="22"/>
          <w:szCs w:val="22"/>
        </w:rPr>
      </w:pPr>
    </w:p>
    <w:p w14:paraId="4C0B8E04" w14:textId="77777777" w:rsidR="005A745D" w:rsidRPr="005A745D" w:rsidRDefault="005A745D" w:rsidP="005A745D">
      <w:pPr>
        <w:pStyle w:val="Prrafodelista"/>
        <w:numPr>
          <w:ilvl w:val="0"/>
          <w:numId w:val="2"/>
        </w:numPr>
        <w:spacing w:line="278" w:lineRule="auto"/>
        <w:rPr>
          <w:rFonts w:ascii="Verdana" w:hAnsi="Verdana"/>
          <w:b/>
          <w:bCs/>
          <w:color w:val="1778BD"/>
        </w:rPr>
      </w:pPr>
      <w:r w:rsidRPr="005A745D">
        <w:rPr>
          <w:rFonts w:ascii="Verdana" w:hAnsi="Verdana"/>
          <w:b/>
          <w:bCs/>
          <w:color w:val="1778BD"/>
        </w:rPr>
        <w:t>Ponderación</w:t>
      </w:r>
    </w:p>
    <w:p w14:paraId="7253FE80" w14:textId="77777777" w:rsidR="005A745D" w:rsidRDefault="005A745D" w:rsidP="005A745D">
      <w:pPr>
        <w:jc w:val="both"/>
        <w:rPr>
          <w:rFonts w:ascii="Verdana" w:hAnsi="Verdana"/>
          <w:noProof/>
          <w:sz w:val="22"/>
          <w:szCs w:val="22"/>
        </w:rPr>
      </w:pPr>
      <w:r w:rsidRPr="005A745D">
        <w:rPr>
          <w:rFonts w:ascii="Verdana" w:hAnsi="Verdana"/>
          <w:noProof/>
          <w:sz w:val="22"/>
          <w:szCs w:val="22"/>
        </w:rPr>
        <w:t xml:space="preserve">EIOPA (2023) publica la tasa de descuento a 150 años mensualmente, sin aplicar ponderaciones específicas para cada una de las divisas establecidas. Sin embargo, considerando la alta volatilidad que caracteriza al mercado colombiano, se propone aplicar un esquema de ponderación geométrica para suavizar las fluctuaciones y lograr una mayor estabilidad en la tasa de descuento a lo largo del tiempo. Esta metodología consiste en ponderar la CRLR utilizando la información de los últimos 12 meses, asignando un mayor peso a los datos más recientes. </w:t>
      </w:r>
    </w:p>
    <w:p w14:paraId="1B57668B" w14:textId="77777777" w:rsidR="005A745D" w:rsidRPr="005A745D" w:rsidRDefault="005A745D" w:rsidP="005A745D">
      <w:pPr>
        <w:jc w:val="both"/>
        <w:rPr>
          <w:rFonts w:ascii="Verdana" w:hAnsi="Verdana"/>
          <w:noProof/>
          <w:sz w:val="22"/>
          <w:szCs w:val="22"/>
        </w:rPr>
      </w:pPr>
    </w:p>
    <w:p w14:paraId="0305A7A9" w14:textId="77777777" w:rsidR="005A745D" w:rsidRPr="005A745D" w:rsidRDefault="005A745D" w:rsidP="005A745D">
      <w:pPr>
        <w:jc w:val="both"/>
        <w:rPr>
          <w:rFonts w:ascii="Verdana" w:hAnsi="Verdana"/>
          <w:noProof/>
          <w:sz w:val="22"/>
          <w:szCs w:val="22"/>
        </w:rPr>
      </w:pPr>
      <w:r w:rsidRPr="005A745D">
        <w:rPr>
          <w:rFonts w:ascii="Verdana" w:hAnsi="Verdana"/>
          <w:noProof/>
          <w:sz w:val="22"/>
          <w:szCs w:val="22"/>
        </w:rPr>
        <w:t>Las ponderaciones se detallan en la tabla 3.</w:t>
      </w:r>
    </w:p>
    <w:p w14:paraId="0AFDA49D" w14:textId="77777777" w:rsidR="005A745D" w:rsidRPr="005A745D" w:rsidRDefault="005A745D" w:rsidP="002A444E">
      <w:pPr>
        <w:keepNext/>
        <w:jc w:val="both"/>
        <w:rPr>
          <w:rFonts w:ascii="Verdana" w:hAnsi="Verdana"/>
          <w:noProof/>
          <w:sz w:val="22"/>
          <w:szCs w:val="22"/>
        </w:rPr>
      </w:pPr>
      <w:r w:rsidRPr="005A745D">
        <w:rPr>
          <w:rFonts w:ascii="Verdana" w:hAnsi="Verdana"/>
          <w:noProof/>
          <w:sz w:val="22"/>
          <w:szCs w:val="22"/>
        </w:rPr>
        <w:lastRenderedPageBreak/>
        <w:t xml:space="preserve"> </w:t>
      </w:r>
    </w:p>
    <w:p w14:paraId="3FA0C094" w14:textId="77777777" w:rsidR="005A745D" w:rsidRPr="005A745D" w:rsidRDefault="005A745D" w:rsidP="002A444E">
      <w:pPr>
        <w:pStyle w:val="Descripcin"/>
        <w:keepNext/>
        <w:spacing w:after="0"/>
        <w:jc w:val="center"/>
        <w:rPr>
          <w:rFonts w:ascii="Verdana" w:hAnsi="Verdana"/>
          <w:b/>
          <w:bCs/>
          <w:i w:val="0"/>
          <w:iCs w:val="0"/>
          <w:color w:val="auto"/>
          <w:sz w:val="22"/>
          <w:szCs w:val="22"/>
        </w:rPr>
      </w:pPr>
      <w:r w:rsidRPr="005A745D">
        <w:rPr>
          <w:rFonts w:ascii="Verdana" w:hAnsi="Verdana"/>
          <w:b/>
          <w:bCs/>
          <w:i w:val="0"/>
          <w:iCs w:val="0"/>
          <w:color w:val="auto"/>
          <w:sz w:val="22"/>
          <w:szCs w:val="22"/>
        </w:rPr>
        <w:t xml:space="preserve">Tabla </w:t>
      </w:r>
      <w:r w:rsidRPr="005A745D">
        <w:rPr>
          <w:rFonts w:ascii="Verdana" w:hAnsi="Verdana"/>
          <w:b/>
          <w:bCs/>
          <w:i w:val="0"/>
          <w:iCs w:val="0"/>
          <w:color w:val="auto"/>
          <w:sz w:val="22"/>
          <w:szCs w:val="22"/>
        </w:rPr>
        <w:fldChar w:fldCharType="begin"/>
      </w:r>
      <w:r w:rsidRPr="005A745D">
        <w:rPr>
          <w:rFonts w:ascii="Verdana" w:hAnsi="Verdana"/>
          <w:b/>
          <w:bCs/>
          <w:i w:val="0"/>
          <w:iCs w:val="0"/>
          <w:color w:val="auto"/>
          <w:sz w:val="22"/>
          <w:szCs w:val="22"/>
        </w:rPr>
        <w:instrText xml:space="preserve"> SEQ Tabla \* ARABIC </w:instrText>
      </w:r>
      <w:r w:rsidRPr="005A745D">
        <w:rPr>
          <w:rFonts w:ascii="Verdana" w:hAnsi="Verdana"/>
          <w:b/>
          <w:bCs/>
          <w:i w:val="0"/>
          <w:iCs w:val="0"/>
          <w:color w:val="auto"/>
          <w:sz w:val="22"/>
          <w:szCs w:val="22"/>
        </w:rPr>
        <w:fldChar w:fldCharType="separate"/>
      </w:r>
      <w:r w:rsidRPr="005A745D">
        <w:rPr>
          <w:rFonts w:ascii="Verdana" w:hAnsi="Verdana"/>
          <w:b/>
          <w:bCs/>
          <w:i w:val="0"/>
          <w:iCs w:val="0"/>
          <w:noProof/>
          <w:color w:val="auto"/>
          <w:sz w:val="22"/>
          <w:szCs w:val="22"/>
        </w:rPr>
        <w:t>3</w:t>
      </w:r>
      <w:r w:rsidRPr="005A745D">
        <w:rPr>
          <w:rFonts w:ascii="Verdana" w:hAnsi="Verdana"/>
          <w:b/>
          <w:bCs/>
          <w:i w:val="0"/>
          <w:iCs w:val="0"/>
          <w:color w:val="auto"/>
          <w:sz w:val="22"/>
          <w:szCs w:val="22"/>
        </w:rPr>
        <w:fldChar w:fldCharType="end"/>
      </w:r>
      <w:r w:rsidRPr="005A745D">
        <w:rPr>
          <w:rFonts w:ascii="Verdana" w:hAnsi="Verdana"/>
          <w:b/>
          <w:bCs/>
          <w:i w:val="0"/>
          <w:iCs w:val="0"/>
          <w:color w:val="auto"/>
          <w:sz w:val="22"/>
          <w:szCs w:val="22"/>
        </w:rPr>
        <w:t>. Parámetros para la estimación de la CRLR</w:t>
      </w:r>
    </w:p>
    <w:tbl>
      <w:tblPr>
        <w:tblStyle w:val="Tablaconcuadrcula"/>
        <w:tblW w:w="0" w:type="auto"/>
        <w:jc w:val="center"/>
        <w:tblLook w:val="04A0" w:firstRow="1" w:lastRow="0" w:firstColumn="1" w:lastColumn="0" w:noHBand="0" w:noVBand="1"/>
      </w:tblPr>
      <w:tblGrid>
        <w:gridCol w:w="1514"/>
        <w:gridCol w:w="1564"/>
      </w:tblGrid>
      <w:tr w:rsidR="005A745D" w:rsidRPr="005A745D" w14:paraId="5AD571B0" w14:textId="77777777" w:rsidTr="00E45197">
        <w:trPr>
          <w:trHeight w:val="215"/>
          <w:jc w:val="center"/>
        </w:trPr>
        <w:tc>
          <w:tcPr>
            <w:tcW w:w="1514" w:type="dxa"/>
          </w:tcPr>
          <w:p w14:paraId="1508B850" w14:textId="77777777" w:rsidR="005A745D" w:rsidRPr="005A745D" w:rsidRDefault="005A745D" w:rsidP="002A444E">
            <w:pPr>
              <w:keepNext/>
              <w:jc w:val="center"/>
              <w:rPr>
                <w:rFonts w:ascii="Verdana" w:hAnsi="Verdana"/>
                <w:sz w:val="22"/>
                <w:szCs w:val="22"/>
              </w:rPr>
            </w:pPr>
            <w:r w:rsidRPr="005A745D">
              <w:rPr>
                <w:rFonts w:ascii="Verdana" w:hAnsi="Verdana"/>
                <w:sz w:val="22"/>
                <w:szCs w:val="22"/>
              </w:rPr>
              <w:t>Rezago mensual</w:t>
            </w:r>
          </w:p>
        </w:tc>
        <w:tc>
          <w:tcPr>
            <w:tcW w:w="1514" w:type="dxa"/>
          </w:tcPr>
          <w:p w14:paraId="0A93955B" w14:textId="77777777" w:rsidR="005A745D" w:rsidRPr="005A745D" w:rsidRDefault="005A745D" w:rsidP="002A444E">
            <w:pPr>
              <w:keepNext/>
              <w:jc w:val="center"/>
              <w:rPr>
                <w:rFonts w:ascii="Verdana" w:hAnsi="Verdana"/>
                <w:sz w:val="22"/>
                <w:szCs w:val="22"/>
              </w:rPr>
            </w:pPr>
            <w:r w:rsidRPr="005A745D">
              <w:rPr>
                <w:rFonts w:ascii="Verdana" w:hAnsi="Verdana"/>
                <w:sz w:val="22"/>
                <w:szCs w:val="22"/>
              </w:rPr>
              <w:t>Ponderación</w:t>
            </w:r>
          </w:p>
        </w:tc>
      </w:tr>
      <w:tr w:rsidR="005A745D" w:rsidRPr="005A745D" w14:paraId="52662976" w14:textId="77777777" w:rsidTr="00E45197">
        <w:trPr>
          <w:trHeight w:val="215"/>
          <w:jc w:val="center"/>
        </w:trPr>
        <w:tc>
          <w:tcPr>
            <w:tcW w:w="1514" w:type="dxa"/>
          </w:tcPr>
          <w:p w14:paraId="49775E87"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m:t>
                    </m:r>
                  </m:sub>
                </m:sSub>
              </m:oMath>
            </m:oMathPara>
          </w:p>
        </w:tc>
        <w:tc>
          <w:tcPr>
            <w:tcW w:w="1514" w:type="dxa"/>
            <w:vAlign w:val="center"/>
          </w:tcPr>
          <w:p w14:paraId="037248F9"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8,81%</w:t>
            </w:r>
          </w:p>
        </w:tc>
      </w:tr>
      <w:tr w:rsidR="005A745D" w:rsidRPr="005A745D" w14:paraId="41A57894" w14:textId="77777777" w:rsidTr="00E45197">
        <w:trPr>
          <w:trHeight w:val="215"/>
          <w:jc w:val="center"/>
        </w:trPr>
        <w:tc>
          <w:tcPr>
            <w:tcW w:w="1514" w:type="dxa"/>
          </w:tcPr>
          <w:p w14:paraId="345165C4"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t-1</m:t>
                    </m:r>
                  </m:sub>
                </m:sSub>
              </m:oMath>
            </m:oMathPara>
          </w:p>
        </w:tc>
        <w:tc>
          <w:tcPr>
            <w:tcW w:w="1514" w:type="dxa"/>
            <w:vAlign w:val="center"/>
          </w:tcPr>
          <w:p w14:paraId="31B9D823"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8,71%</w:t>
            </w:r>
          </w:p>
        </w:tc>
      </w:tr>
      <w:tr w:rsidR="005A745D" w:rsidRPr="005A745D" w14:paraId="24FDBD7E" w14:textId="77777777" w:rsidTr="00E45197">
        <w:trPr>
          <w:trHeight w:val="223"/>
          <w:jc w:val="center"/>
        </w:trPr>
        <w:tc>
          <w:tcPr>
            <w:tcW w:w="1514" w:type="dxa"/>
          </w:tcPr>
          <w:p w14:paraId="040F92A5"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t-2</m:t>
                    </m:r>
                  </m:sub>
                </m:sSub>
              </m:oMath>
            </m:oMathPara>
          </w:p>
        </w:tc>
        <w:tc>
          <w:tcPr>
            <w:tcW w:w="1514" w:type="dxa"/>
            <w:vAlign w:val="center"/>
          </w:tcPr>
          <w:p w14:paraId="6479855A"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8,62%</w:t>
            </w:r>
          </w:p>
        </w:tc>
      </w:tr>
      <w:tr w:rsidR="005A745D" w:rsidRPr="005A745D" w14:paraId="024754B1" w14:textId="77777777" w:rsidTr="00E45197">
        <w:trPr>
          <w:trHeight w:val="215"/>
          <w:jc w:val="center"/>
        </w:trPr>
        <w:tc>
          <w:tcPr>
            <w:tcW w:w="1514" w:type="dxa"/>
          </w:tcPr>
          <w:p w14:paraId="355B3E8D"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t-3</m:t>
                    </m:r>
                  </m:sub>
                </m:sSub>
              </m:oMath>
            </m:oMathPara>
          </w:p>
        </w:tc>
        <w:tc>
          <w:tcPr>
            <w:tcW w:w="1514" w:type="dxa"/>
            <w:vAlign w:val="center"/>
          </w:tcPr>
          <w:p w14:paraId="087B6E69"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8,54%</w:t>
            </w:r>
          </w:p>
        </w:tc>
      </w:tr>
      <w:tr w:rsidR="005A745D" w:rsidRPr="005A745D" w14:paraId="75A4B8DF" w14:textId="77777777" w:rsidTr="00E45197">
        <w:trPr>
          <w:trHeight w:val="215"/>
          <w:jc w:val="center"/>
        </w:trPr>
        <w:tc>
          <w:tcPr>
            <w:tcW w:w="1514" w:type="dxa"/>
          </w:tcPr>
          <w:p w14:paraId="0588B3AA"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t-4</m:t>
                    </m:r>
                  </m:sub>
                </m:sSub>
              </m:oMath>
            </m:oMathPara>
          </w:p>
        </w:tc>
        <w:tc>
          <w:tcPr>
            <w:tcW w:w="1514" w:type="dxa"/>
            <w:vAlign w:val="center"/>
          </w:tcPr>
          <w:p w14:paraId="68613E6D"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8,45%</w:t>
            </w:r>
          </w:p>
        </w:tc>
      </w:tr>
      <w:tr w:rsidR="005A745D" w:rsidRPr="005A745D" w14:paraId="3966BE62" w14:textId="77777777" w:rsidTr="00E45197">
        <w:trPr>
          <w:trHeight w:val="223"/>
          <w:jc w:val="center"/>
        </w:trPr>
        <w:tc>
          <w:tcPr>
            <w:tcW w:w="1514" w:type="dxa"/>
          </w:tcPr>
          <w:p w14:paraId="4B553966"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t-5</m:t>
                    </m:r>
                  </m:sub>
                </m:sSub>
              </m:oMath>
            </m:oMathPara>
          </w:p>
        </w:tc>
        <w:tc>
          <w:tcPr>
            <w:tcW w:w="1514" w:type="dxa"/>
            <w:vAlign w:val="center"/>
          </w:tcPr>
          <w:p w14:paraId="1F87D799"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8,37%</w:t>
            </w:r>
          </w:p>
        </w:tc>
      </w:tr>
      <w:tr w:rsidR="005A745D" w:rsidRPr="005A745D" w14:paraId="52B5562E" w14:textId="77777777" w:rsidTr="00E45197">
        <w:trPr>
          <w:trHeight w:val="223"/>
          <w:jc w:val="center"/>
        </w:trPr>
        <w:tc>
          <w:tcPr>
            <w:tcW w:w="1514" w:type="dxa"/>
          </w:tcPr>
          <w:p w14:paraId="35A2791D"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t-6</m:t>
                    </m:r>
                  </m:sub>
                </m:sSub>
              </m:oMath>
            </m:oMathPara>
          </w:p>
        </w:tc>
        <w:tc>
          <w:tcPr>
            <w:tcW w:w="1514" w:type="dxa"/>
            <w:vAlign w:val="center"/>
          </w:tcPr>
          <w:p w14:paraId="350D1A43"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8,29%</w:t>
            </w:r>
          </w:p>
        </w:tc>
      </w:tr>
      <w:tr w:rsidR="005A745D" w:rsidRPr="005A745D" w14:paraId="4EF5DA7F" w14:textId="77777777" w:rsidTr="00E45197">
        <w:trPr>
          <w:trHeight w:val="223"/>
          <w:jc w:val="center"/>
        </w:trPr>
        <w:tc>
          <w:tcPr>
            <w:tcW w:w="1514" w:type="dxa"/>
          </w:tcPr>
          <w:p w14:paraId="11B7F463"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t-7</m:t>
                    </m:r>
                  </m:sub>
                </m:sSub>
              </m:oMath>
            </m:oMathPara>
          </w:p>
        </w:tc>
        <w:tc>
          <w:tcPr>
            <w:tcW w:w="1514" w:type="dxa"/>
            <w:vAlign w:val="center"/>
          </w:tcPr>
          <w:p w14:paraId="59272CFD"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8,21%</w:t>
            </w:r>
          </w:p>
        </w:tc>
      </w:tr>
      <w:tr w:rsidR="005A745D" w:rsidRPr="005A745D" w14:paraId="0373D2BE" w14:textId="77777777" w:rsidTr="00E45197">
        <w:trPr>
          <w:trHeight w:val="223"/>
          <w:jc w:val="center"/>
        </w:trPr>
        <w:tc>
          <w:tcPr>
            <w:tcW w:w="1514" w:type="dxa"/>
          </w:tcPr>
          <w:p w14:paraId="48CC2C41"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t-8</m:t>
                    </m:r>
                  </m:sub>
                </m:sSub>
              </m:oMath>
            </m:oMathPara>
          </w:p>
        </w:tc>
        <w:tc>
          <w:tcPr>
            <w:tcW w:w="1514" w:type="dxa"/>
            <w:vAlign w:val="center"/>
          </w:tcPr>
          <w:p w14:paraId="5BCA8597"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8,12%</w:t>
            </w:r>
          </w:p>
        </w:tc>
      </w:tr>
      <w:tr w:rsidR="005A745D" w:rsidRPr="005A745D" w14:paraId="504EB923" w14:textId="77777777" w:rsidTr="00E45197">
        <w:trPr>
          <w:trHeight w:val="223"/>
          <w:jc w:val="center"/>
        </w:trPr>
        <w:tc>
          <w:tcPr>
            <w:tcW w:w="1514" w:type="dxa"/>
          </w:tcPr>
          <w:p w14:paraId="0D68712F"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t-9</m:t>
                    </m:r>
                  </m:sub>
                </m:sSub>
              </m:oMath>
            </m:oMathPara>
          </w:p>
        </w:tc>
        <w:tc>
          <w:tcPr>
            <w:tcW w:w="1514" w:type="dxa"/>
            <w:vAlign w:val="center"/>
          </w:tcPr>
          <w:p w14:paraId="7ACAC75A"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8,04%</w:t>
            </w:r>
          </w:p>
        </w:tc>
      </w:tr>
      <w:tr w:rsidR="005A745D" w:rsidRPr="005A745D" w14:paraId="5147EF14" w14:textId="77777777" w:rsidTr="00E45197">
        <w:trPr>
          <w:trHeight w:val="223"/>
          <w:jc w:val="center"/>
        </w:trPr>
        <w:tc>
          <w:tcPr>
            <w:tcW w:w="1514" w:type="dxa"/>
          </w:tcPr>
          <w:p w14:paraId="77214DDA"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t-10</m:t>
                    </m:r>
                  </m:sub>
                </m:sSub>
              </m:oMath>
            </m:oMathPara>
          </w:p>
        </w:tc>
        <w:tc>
          <w:tcPr>
            <w:tcW w:w="1514" w:type="dxa"/>
            <w:vAlign w:val="center"/>
          </w:tcPr>
          <w:p w14:paraId="53B491BD"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7,96%</w:t>
            </w:r>
          </w:p>
        </w:tc>
      </w:tr>
      <w:tr w:rsidR="005A745D" w:rsidRPr="005A745D" w14:paraId="08DAB580" w14:textId="77777777" w:rsidTr="00E45197">
        <w:trPr>
          <w:trHeight w:val="223"/>
          <w:jc w:val="center"/>
        </w:trPr>
        <w:tc>
          <w:tcPr>
            <w:tcW w:w="1514" w:type="dxa"/>
          </w:tcPr>
          <w:p w14:paraId="4FABAFED" w14:textId="77777777" w:rsidR="005A745D" w:rsidRPr="005A745D" w:rsidRDefault="00000000" w:rsidP="002A444E">
            <w:pPr>
              <w:keepNext/>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Periodo</m:t>
                    </m:r>
                  </m:e>
                  <m:sub>
                    <m:r>
                      <w:rPr>
                        <w:rFonts w:ascii="Cambria Math" w:hAnsi="Cambria Math"/>
                        <w:sz w:val="22"/>
                        <w:szCs w:val="22"/>
                      </w:rPr>
                      <m:t>t-11</m:t>
                    </m:r>
                  </m:sub>
                </m:sSub>
              </m:oMath>
            </m:oMathPara>
          </w:p>
        </w:tc>
        <w:tc>
          <w:tcPr>
            <w:tcW w:w="1514" w:type="dxa"/>
            <w:vAlign w:val="center"/>
          </w:tcPr>
          <w:p w14:paraId="0888F2E3" w14:textId="77777777" w:rsidR="005A745D" w:rsidRPr="005A745D" w:rsidRDefault="005A745D" w:rsidP="002A444E">
            <w:pPr>
              <w:keepNext/>
              <w:jc w:val="center"/>
              <w:rPr>
                <w:rFonts w:ascii="Verdana" w:hAnsi="Verdana"/>
                <w:sz w:val="22"/>
                <w:szCs w:val="22"/>
              </w:rPr>
            </w:pPr>
            <w:r w:rsidRPr="005A745D">
              <w:rPr>
                <w:rFonts w:ascii="Verdana" w:hAnsi="Verdana"/>
                <w:color w:val="000000"/>
                <w:sz w:val="22"/>
                <w:szCs w:val="22"/>
              </w:rPr>
              <w:t>7,88%</w:t>
            </w:r>
          </w:p>
        </w:tc>
      </w:tr>
    </w:tbl>
    <w:p w14:paraId="4971AA78" w14:textId="1E31D8B9" w:rsidR="005A745D" w:rsidRPr="00BB3AAA" w:rsidRDefault="005A745D" w:rsidP="002A444E">
      <w:pPr>
        <w:keepNext/>
        <w:jc w:val="center"/>
        <w:rPr>
          <w:rFonts w:ascii="Verdana" w:hAnsi="Verdana"/>
          <w:sz w:val="16"/>
          <w:szCs w:val="16"/>
        </w:rPr>
      </w:pPr>
      <w:r w:rsidRPr="00BB3AAA">
        <w:rPr>
          <w:rFonts w:ascii="Verdana" w:hAnsi="Verdana"/>
          <w:sz w:val="16"/>
          <w:szCs w:val="16"/>
        </w:rPr>
        <w:t>Fuente: SFC</w:t>
      </w:r>
      <w:r w:rsidR="002A444E">
        <w:rPr>
          <w:rFonts w:ascii="Verdana" w:hAnsi="Verdana"/>
          <w:sz w:val="16"/>
          <w:szCs w:val="16"/>
        </w:rPr>
        <w:t>.</w:t>
      </w:r>
    </w:p>
    <w:p w14:paraId="28A59590" w14:textId="77777777" w:rsidR="005A745D" w:rsidRPr="005A745D" w:rsidRDefault="005A745D" w:rsidP="005A745D">
      <w:pPr>
        <w:jc w:val="both"/>
        <w:rPr>
          <w:rFonts w:ascii="Verdana" w:hAnsi="Verdana"/>
          <w:noProof/>
          <w:sz w:val="22"/>
          <w:szCs w:val="22"/>
        </w:rPr>
      </w:pPr>
    </w:p>
    <w:p w14:paraId="7338F76E" w14:textId="10FEF008" w:rsidR="005A745D" w:rsidRPr="005A745D" w:rsidRDefault="005A745D" w:rsidP="000F2775">
      <w:pPr>
        <w:jc w:val="both"/>
        <w:rPr>
          <w:rFonts w:ascii="Verdana" w:hAnsi="Verdana"/>
          <w:noProof/>
          <w:sz w:val="22"/>
          <w:szCs w:val="22"/>
        </w:rPr>
      </w:pPr>
      <w:r w:rsidRPr="005A745D">
        <w:rPr>
          <w:rFonts w:ascii="Verdana" w:hAnsi="Verdana"/>
          <w:noProof/>
          <w:sz w:val="22"/>
          <w:szCs w:val="22"/>
        </w:rPr>
        <w:t>Como se observa en la gráfica 2, la CRLR presenta una alta variabilidad entre periodos debido a la volatilidad inherente al mercado colombiano. El uso de ponderaciones permite reducir dicha variabilidad, aportando mayor consistencia y estabilidad en los cálculos, lo que facilita la toma de decisiones financieras y la planificación a largo plazo.</w:t>
      </w:r>
    </w:p>
    <w:p w14:paraId="3717CC77" w14:textId="277536A2" w:rsidR="00204142" w:rsidRPr="00204142" w:rsidRDefault="005A745D" w:rsidP="00204142">
      <w:pPr>
        <w:pStyle w:val="Descripcin"/>
        <w:keepNext/>
        <w:jc w:val="center"/>
        <w:rPr>
          <w:rFonts w:ascii="Verdana" w:hAnsi="Verdana"/>
          <w:b/>
          <w:bCs/>
          <w:i w:val="0"/>
          <w:iCs w:val="0"/>
          <w:color w:val="auto"/>
          <w:sz w:val="22"/>
          <w:szCs w:val="22"/>
        </w:rPr>
      </w:pPr>
      <w:r w:rsidRPr="005A745D">
        <w:rPr>
          <w:rFonts w:ascii="Verdana" w:hAnsi="Verdana"/>
          <w:b/>
          <w:bCs/>
          <w:i w:val="0"/>
          <w:iCs w:val="0"/>
          <w:color w:val="auto"/>
          <w:sz w:val="22"/>
          <w:szCs w:val="22"/>
        </w:rPr>
        <w:lastRenderedPageBreak/>
        <w:t xml:space="preserve">Gráfica </w:t>
      </w:r>
      <w:r w:rsidRPr="005A745D">
        <w:rPr>
          <w:rFonts w:ascii="Verdana" w:hAnsi="Verdana"/>
          <w:b/>
          <w:bCs/>
          <w:i w:val="0"/>
          <w:iCs w:val="0"/>
          <w:color w:val="auto"/>
          <w:sz w:val="22"/>
          <w:szCs w:val="22"/>
        </w:rPr>
        <w:fldChar w:fldCharType="begin"/>
      </w:r>
      <w:r w:rsidRPr="005A745D">
        <w:rPr>
          <w:rFonts w:ascii="Verdana" w:hAnsi="Verdana"/>
          <w:b/>
          <w:bCs/>
          <w:i w:val="0"/>
          <w:iCs w:val="0"/>
          <w:color w:val="auto"/>
          <w:sz w:val="22"/>
          <w:szCs w:val="22"/>
        </w:rPr>
        <w:instrText xml:space="preserve"> SEQ Gráfica \* ARABIC </w:instrText>
      </w:r>
      <w:r w:rsidRPr="005A745D">
        <w:rPr>
          <w:rFonts w:ascii="Verdana" w:hAnsi="Verdana"/>
          <w:b/>
          <w:bCs/>
          <w:i w:val="0"/>
          <w:iCs w:val="0"/>
          <w:color w:val="auto"/>
          <w:sz w:val="22"/>
          <w:szCs w:val="22"/>
        </w:rPr>
        <w:fldChar w:fldCharType="separate"/>
      </w:r>
      <w:r w:rsidRPr="005A745D">
        <w:rPr>
          <w:rFonts w:ascii="Verdana" w:hAnsi="Verdana"/>
          <w:b/>
          <w:bCs/>
          <w:i w:val="0"/>
          <w:iCs w:val="0"/>
          <w:noProof/>
          <w:color w:val="auto"/>
          <w:sz w:val="22"/>
          <w:szCs w:val="22"/>
        </w:rPr>
        <w:t>2</w:t>
      </w:r>
      <w:r w:rsidRPr="005A745D">
        <w:rPr>
          <w:rFonts w:ascii="Verdana" w:hAnsi="Verdana"/>
          <w:b/>
          <w:bCs/>
          <w:i w:val="0"/>
          <w:iCs w:val="0"/>
          <w:color w:val="auto"/>
          <w:sz w:val="22"/>
          <w:szCs w:val="22"/>
        </w:rPr>
        <w:fldChar w:fldCharType="end"/>
      </w:r>
      <w:r w:rsidRPr="005A745D">
        <w:rPr>
          <w:rFonts w:ascii="Verdana" w:hAnsi="Verdana"/>
          <w:b/>
          <w:bCs/>
          <w:i w:val="0"/>
          <w:iCs w:val="0"/>
          <w:color w:val="auto"/>
          <w:sz w:val="22"/>
          <w:szCs w:val="22"/>
        </w:rPr>
        <w:t>. CRLR ponderada y CRLR sin ponderar de trimestres de interés</w:t>
      </w:r>
    </w:p>
    <w:p w14:paraId="1976E757" w14:textId="6D5BD0A8" w:rsidR="00204142" w:rsidRPr="005A745D" w:rsidRDefault="00204142" w:rsidP="00204142">
      <w:pPr>
        <w:keepNext/>
        <w:jc w:val="center"/>
        <w:rPr>
          <w:rFonts w:ascii="Verdana" w:hAnsi="Verdana"/>
          <w:noProof/>
          <w:sz w:val="22"/>
          <w:szCs w:val="22"/>
        </w:rPr>
      </w:pPr>
      <w:r>
        <w:rPr>
          <w:rFonts w:ascii="Verdana" w:hAnsi="Verdana"/>
          <w:noProof/>
          <w:sz w:val="22"/>
          <w:szCs w:val="22"/>
          <w:lang w:val="es-CO" w:eastAsia="es-CO"/>
        </w:rPr>
        <w:drawing>
          <wp:inline distT="0" distB="0" distL="0" distR="0" wp14:anchorId="5E81A184" wp14:editId="5144138A">
            <wp:extent cx="4906800" cy="2836310"/>
            <wp:effectExtent l="0" t="0" r="0" b="0"/>
            <wp:docPr id="11122817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6800" cy="2836310"/>
                    </a:xfrm>
                    <a:prstGeom prst="rect">
                      <a:avLst/>
                    </a:prstGeom>
                    <a:noFill/>
                  </pic:spPr>
                </pic:pic>
              </a:graphicData>
            </a:graphic>
          </wp:inline>
        </w:drawing>
      </w:r>
    </w:p>
    <w:p w14:paraId="2636D307" w14:textId="55016F45" w:rsidR="005A745D" w:rsidRPr="00BB3AAA" w:rsidRDefault="005A745D" w:rsidP="005A745D">
      <w:pPr>
        <w:keepNext/>
        <w:jc w:val="center"/>
        <w:rPr>
          <w:rFonts w:ascii="Verdana" w:hAnsi="Verdana"/>
          <w:sz w:val="16"/>
          <w:szCs w:val="16"/>
        </w:rPr>
      </w:pPr>
      <w:r w:rsidRPr="00BB3AAA">
        <w:rPr>
          <w:rFonts w:ascii="Verdana" w:hAnsi="Verdana"/>
          <w:sz w:val="16"/>
          <w:szCs w:val="16"/>
        </w:rPr>
        <w:t>Fuente: SFC</w:t>
      </w:r>
      <w:r w:rsidR="00BB3AAA">
        <w:rPr>
          <w:rFonts w:ascii="Verdana" w:hAnsi="Verdana"/>
          <w:sz w:val="16"/>
          <w:szCs w:val="16"/>
        </w:rPr>
        <w:t>.</w:t>
      </w:r>
    </w:p>
    <w:p w14:paraId="204A861E" w14:textId="77777777" w:rsidR="005A745D" w:rsidRPr="005A745D" w:rsidRDefault="005A745D" w:rsidP="005A745D">
      <w:pPr>
        <w:jc w:val="center"/>
        <w:rPr>
          <w:rFonts w:ascii="Verdana" w:hAnsi="Verdana"/>
          <w:sz w:val="22"/>
          <w:szCs w:val="22"/>
        </w:rPr>
      </w:pPr>
    </w:p>
    <w:p w14:paraId="6607E6D1" w14:textId="77777777" w:rsidR="005A745D" w:rsidRPr="005A745D" w:rsidRDefault="005A745D" w:rsidP="005A745D">
      <w:pPr>
        <w:pStyle w:val="Prrafodelista"/>
        <w:numPr>
          <w:ilvl w:val="0"/>
          <w:numId w:val="2"/>
        </w:numPr>
        <w:spacing w:line="278" w:lineRule="auto"/>
        <w:rPr>
          <w:rFonts w:ascii="Verdana" w:hAnsi="Verdana"/>
          <w:b/>
          <w:bCs/>
          <w:color w:val="1778BD"/>
        </w:rPr>
      </w:pPr>
      <w:r w:rsidRPr="005A745D">
        <w:rPr>
          <w:rFonts w:ascii="Verdana" w:hAnsi="Verdana"/>
          <w:b/>
          <w:bCs/>
          <w:color w:val="1778BD"/>
        </w:rPr>
        <w:t>Inflación implícita</w:t>
      </w:r>
    </w:p>
    <w:p w14:paraId="582EC96C" w14:textId="204BF538" w:rsidR="005A745D" w:rsidRPr="005A745D" w:rsidRDefault="005A745D" w:rsidP="00365F14">
      <w:pPr>
        <w:jc w:val="both"/>
        <w:rPr>
          <w:rFonts w:ascii="Verdana" w:hAnsi="Verdana"/>
          <w:sz w:val="22"/>
          <w:szCs w:val="22"/>
        </w:rPr>
      </w:pPr>
      <w:r w:rsidRPr="005A745D">
        <w:rPr>
          <w:rFonts w:ascii="Verdana" w:hAnsi="Verdana"/>
          <w:sz w:val="22"/>
          <w:szCs w:val="22"/>
        </w:rPr>
        <w:t xml:space="preserve">En línea con el concepto de valor de mercado de la metodología de la mejor estimación de las obligaciones de las compañías de seguros, se propone utilizar la inflación implícita considerando que anticipa y tiene en cuenta las expectativas tanto del mercado como del </w:t>
      </w:r>
      <w:r w:rsidR="00976089">
        <w:rPr>
          <w:rFonts w:ascii="Verdana" w:hAnsi="Verdana"/>
          <w:sz w:val="22"/>
          <w:szCs w:val="22"/>
        </w:rPr>
        <w:t>B</w:t>
      </w:r>
      <w:r w:rsidRPr="005A745D">
        <w:rPr>
          <w:rFonts w:ascii="Verdana" w:hAnsi="Verdana"/>
          <w:sz w:val="22"/>
          <w:szCs w:val="22"/>
        </w:rPr>
        <w:t xml:space="preserve">anco </w:t>
      </w:r>
      <w:r w:rsidR="00976089">
        <w:rPr>
          <w:rFonts w:ascii="Verdana" w:hAnsi="Verdana"/>
          <w:sz w:val="22"/>
          <w:szCs w:val="22"/>
        </w:rPr>
        <w:t>de la República</w:t>
      </w:r>
      <w:r w:rsidRPr="005A745D">
        <w:rPr>
          <w:rFonts w:ascii="Verdana" w:hAnsi="Verdana"/>
          <w:sz w:val="22"/>
          <w:szCs w:val="22"/>
        </w:rPr>
        <w:t>, y se convierte en una variable observable en el mercado.</w:t>
      </w:r>
    </w:p>
    <w:p w14:paraId="15F22AD9" w14:textId="77777777" w:rsidR="005A745D" w:rsidRPr="005A745D" w:rsidRDefault="005A745D" w:rsidP="005A745D">
      <w:pPr>
        <w:jc w:val="both"/>
        <w:rPr>
          <w:rFonts w:ascii="Verdana" w:hAnsi="Verdana"/>
          <w:sz w:val="22"/>
          <w:szCs w:val="22"/>
        </w:rPr>
      </w:pPr>
    </w:p>
    <w:p w14:paraId="06628EEB" w14:textId="77777777" w:rsidR="005A745D" w:rsidRPr="005A745D" w:rsidRDefault="005A745D" w:rsidP="005A745D">
      <w:pPr>
        <w:jc w:val="both"/>
        <w:rPr>
          <w:rFonts w:ascii="Verdana" w:hAnsi="Verdana"/>
          <w:sz w:val="22"/>
          <w:szCs w:val="22"/>
        </w:rPr>
      </w:pPr>
      <w:r w:rsidRPr="005A745D">
        <w:rPr>
          <w:rFonts w:ascii="Verdana" w:hAnsi="Verdana"/>
          <w:sz w:val="22"/>
          <w:szCs w:val="22"/>
        </w:rPr>
        <w:t>La inflación implícita se calculará con base en las diferencias en cada plazo (anual) de las curvas cero cupón de la deuda pública en pesos y en UVR, de la siguiente forma:</w:t>
      </w:r>
    </w:p>
    <w:p w14:paraId="0E1176CF" w14:textId="77777777" w:rsidR="005A745D" w:rsidRPr="005A745D" w:rsidRDefault="005A745D" w:rsidP="005A745D">
      <w:pPr>
        <w:jc w:val="both"/>
        <w:rPr>
          <w:rFonts w:ascii="Verdana" w:hAnsi="Verdana"/>
          <w:sz w:val="22"/>
          <w:szCs w:val="22"/>
        </w:rPr>
      </w:pPr>
    </w:p>
    <w:p w14:paraId="4F07A7D5" w14:textId="77777777" w:rsidR="005A745D" w:rsidRPr="005A745D" w:rsidRDefault="00000000" w:rsidP="005A745D">
      <w:pPr>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INFLACIÓN</m:t>
              </m:r>
            </m:e>
            <m:sub>
              <m:r>
                <w:rPr>
                  <w:rFonts w:ascii="Cambria Math" w:hAnsi="Cambria Math"/>
                  <w:sz w:val="22"/>
                  <w:szCs w:val="22"/>
                </w:rPr>
                <m:t>k</m:t>
              </m:r>
            </m:sub>
          </m:sSub>
          <m:r>
            <w:rPr>
              <w:rFonts w:ascii="Cambria Math" w:hAnsi="Cambria Math"/>
              <w:sz w:val="22"/>
              <w:szCs w:val="22"/>
            </w:rPr>
            <m:t xml:space="preserve"> =</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TDPP</m:t>
                      </m:r>
                    </m:e>
                    <m:sub>
                      <m:r>
                        <w:rPr>
                          <w:rFonts w:ascii="Cambria Math" w:hAnsi="Cambria Math"/>
                          <w:sz w:val="22"/>
                          <w:szCs w:val="22"/>
                        </w:rPr>
                        <m:t>k</m:t>
                      </m:r>
                    </m:sub>
                  </m:sSub>
                </m:num>
                <m:den>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TDPUVR</m:t>
                      </m:r>
                    </m:e>
                    <m:sub>
                      <m:r>
                        <w:rPr>
                          <w:rFonts w:ascii="Cambria Math" w:hAnsi="Cambria Math"/>
                          <w:sz w:val="22"/>
                          <w:szCs w:val="22"/>
                        </w:rPr>
                        <m:t>k</m:t>
                      </m:r>
                    </m:sub>
                  </m:sSub>
                </m:den>
              </m:f>
            </m:e>
          </m:d>
          <m:r>
            <w:rPr>
              <w:rFonts w:ascii="Cambria Math" w:hAnsi="Cambria Math"/>
              <w:sz w:val="22"/>
              <w:szCs w:val="22"/>
            </w:rPr>
            <m:t>-1                     si k ≤ UPL</m:t>
          </m:r>
        </m:oMath>
      </m:oMathPara>
    </w:p>
    <w:p w14:paraId="73BE7EE7" w14:textId="77777777" w:rsidR="005A745D" w:rsidRPr="005A745D" w:rsidRDefault="005A745D" w:rsidP="005A745D">
      <w:pPr>
        <w:jc w:val="both"/>
        <w:rPr>
          <w:rFonts w:ascii="Cambria Math" w:hAnsi="Cambria Math"/>
          <w:sz w:val="22"/>
          <w:szCs w:val="22"/>
          <w:oMath/>
        </w:rPr>
      </w:pPr>
    </w:p>
    <w:p w14:paraId="6E174CAA" w14:textId="77777777" w:rsidR="005A745D" w:rsidRPr="005A745D" w:rsidRDefault="005A745D" w:rsidP="005A745D">
      <w:pPr>
        <w:jc w:val="both"/>
        <w:rPr>
          <w:rFonts w:ascii="Cambria Math" w:hAnsi="Cambria Math"/>
          <w:sz w:val="22"/>
          <w:szCs w:val="22"/>
          <w:oMath/>
        </w:rPr>
      </w:pPr>
      <m:oMathPara>
        <m:oMath>
          <m:r>
            <w:rPr>
              <w:rFonts w:ascii="Cambria Math" w:hAnsi="Cambria Math"/>
              <w:sz w:val="22"/>
              <w:szCs w:val="22"/>
            </w:rPr>
            <m:t xml:space="preserve">                                    3%                                               si k&gt; UPL</m:t>
          </m:r>
        </m:oMath>
      </m:oMathPara>
    </w:p>
    <w:p w14:paraId="0EE51391"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Donde </w:t>
      </w:r>
    </w:p>
    <w:p w14:paraId="052C5442" w14:textId="77777777" w:rsidR="005A745D" w:rsidRPr="005A745D" w:rsidRDefault="005A745D" w:rsidP="005A745D">
      <w:pPr>
        <w:jc w:val="both"/>
        <w:rPr>
          <w:rFonts w:ascii="Verdana" w:hAnsi="Verdana"/>
          <w:sz w:val="22"/>
          <w:szCs w:val="22"/>
        </w:rPr>
      </w:pPr>
    </w:p>
    <w:p w14:paraId="10A90C65" w14:textId="77777777" w:rsidR="005A745D" w:rsidRPr="005A745D" w:rsidRDefault="00000000" w:rsidP="005A745D">
      <w:pPr>
        <w:pStyle w:val="Prrafodelista"/>
        <w:numPr>
          <w:ilvl w:val="0"/>
          <w:numId w:val="4"/>
        </w:numPr>
        <w:spacing w:line="278" w:lineRule="auto"/>
        <w:jc w:val="both"/>
        <w:rPr>
          <w:rFonts w:ascii="Verdana" w:hAnsi="Verdana"/>
        </w:rPr>
      </w:pPr>
      <m:oMath>
        <m:sSub>
          <m:sSubPr>
            <m:ctrlPr>
              <w:rPr>
                <w:rFonts w:ascii="Cambria Math" w:eastAsia="Times New Roman" w:hAnsi="Cambria Math" w:cs="Times New Roman"/>
                <w:i/>
                <w:kern w:val="0"/>
                <w:lang w:val="es-ES_tradnl" w:eastAsia="es-ES"/>
                <w14:ligatures w14:val="none"/>
              </w:rPr>
            </m:ctrlPr>
          </m:sSubPr>
          <m:e>
            <m:r>
              <w:rPr>
                <w:rFonts w:ascii="Cambria Math" w:hAnsi="Cambria Math"/>
              </w:rPr>
              <m:t>INFLACIÓN</m:t>
            </m:r>
          </m:e>
          <m:sub>
            <m:r>
              <w:rPr>
                <w:rFonts w:ascii="Cambria Math" w:hAnsi="Cambria Math"/>
              </w:rPr>
              <m:t>k</m:t>
            </m:r>
          </m:sub>
        </m:sSub>
      </m:oMath>
      <w:r w:rsidR="005A745D" w:rsidRPr="005A745D">
        <w:rPr>
          <w:rFonts w:ascii="Verdana" w:hAnsi="Verdana"/>
        </w:rPr>
        <w:t xml:space="preserve"> es la inflación implícita en el nodo </w:t>
      </w:r>
      <m:oMath>
        <m:r>
          <w:rPr>
            <w:rFonts w:ascii="Cambria Math" w:hAnsi="Cambria Math"/>
          </w:rPr>
          <m:t>k</m:t>
        </m:r>
      </m:oMath>
    </w:p>
    <w:p w14:paraId="404D3CCF" w14:textId="77777777" w:rsidR="005A745D" w:rsidRPr="005A745D" w:rsidRDefault="00000000" w:rsidP="005A745D">
      <w:pPr>
        <w:pStyle w:val="Prrafodelista"/>
        <w:numPr>
          <w:ilvl w:val="0"/>
          <w:numId w:val="4"/>
        </w:numPr>
        <w:spacing w:line="278" w:lineRule="auto"/>
        <w:jc w:val="both"/>
        <w:rPr>
          <w:rFonts w:ascii="Verdana" w:hAnsi="Verdana"/>
        </w:rPr>
      </w:pPr>
      <m:oMath>
        <m:sSub>
          <m:sSubPr>
            <m:ctrlPr>
              <w:rPr>
                <w:rFonts w:ascii="Cambria Math" w:eastAsia="Times New Roman" w:hAnsi="Cambria Math" w:cs="Times New Roman"/>
                <w:i/>
                <w:kern w:val="0"/>
                <w:lang w:val="es-ES_tradnl" w:eastAsia="es-ES"/>
                <w14:ligatures w14:val="none"/>
              </w:rPr>
            </m:ctrlPr>
          </m:sSubPr>
          <m:e>
            <m:r>
              <w:rPr>
                <w:rFonts w:ascii="Cambria Math" w:hAnsi="Cambria Math"/>
              </w:rPr>
              <m:t>TDPP</m:t>
            </m:r>
          </m:e>
          <m:sub>
            <m:r>
              <w:rPr>
                <w:rFonts w:ascii="Cambria Math" w:hAnsi="Cambria Math"/>
              </w:rPr>
              <m:t>k</m:t>
            </m:r>
          </m:sub>
        </m:sSub>
      </m:oMath>
      <w:r w:rsidR="005A745D" w:rsidRPr="005A745D">
        <w:rPr>
          <w:rFonts w:ascii="Verdana" w:hAnsi="Verdana"/>
        </w:rPr>
        <w:t xml:space="preserve"> es la tasa de deuda pública en pesos en el nodo </w:t>
      </w:r>
      <m:oMath>
        <m:r>
          <w:rPr>
            <w:rFonts w:ascii="Cambria Math" w:hAnsi="Cambria Math"/>
          </w:rPr>
          <m:t>k</m:t>
        </m:r>
      </m:oMath>
    </w:p>
    <w:p w14:paraId="6E229AED" w14:textId="77777777" w:rsidR="005A745D" w:rsidRPr="005A745D" w:rsidRDefault="00000000" w:rsidP="005A745D">
      <w:pPr>
        <w:pStyle w:val="Prrafodelista"/>
        <w:numPr>
          <w:ilvl w:val="0"/>
          <w:numId w:val="4"/>
        </w:numPr>
        <w:spacing w:line="278" w:lineRule="auto"/>
        <w:jc w:val="both"/>
        <w:rPr>
          <w:rFonts w:ascii="Verdana" w:hAnsi="Verdana"/>
        </w:rPr>
      </w:pPr>
      <m:oMath>
        <m:sSub>
          <m:sSubPr>
            <m:ctrlPr>
              <w:rPr>
                <w:rFonts w:ascii="Cambria Math" w:eastAsia="Times New Roman" w:hAnsi="Cambria Math" w:cs="Times New Roman"/>
                <w:i/>
                <w:kern w:val="0"/>
                <w:lang w:val="es-ES_tradnl" w:eastAsia="es-ES"/>
                <w14:ligatures w14:val="none"/>
              </w:rPr>
            </m:ctrlPr>
          </m:sSubPr>
          <m:e>
            <m:r>
              <w:rPr>
                <w:rFonts w:ascii="Cambria Math" w:hAnsi="Cambria Math"/>
              </w:rPr>
              <m:t>TDPUVR</m:t>
            </m:r>
          </m:e>
          <m:sub>
            <m:r>
              <w:rPr>
                <w:rFonts w:ascii="Cambria Math" w:hAnsi="Cambria Math"/>
              </w:rPr>
              <m:t>k</m:t>
            </m:r>
          </m:sub>
        </m:sSub>
      </m:oMath>
      <w:r w:rsidR="005A745D" w:rsidRPr="005A745D">
        <w:rPr>
          <w:rFonts w:ascii="Verdana" w:hAnsi="Verdana"/>
        </w:rPr>
        <w:t xml:space="preserve"> es la tasa de deuda pública en UVR en el nodo </w:t>
      </w:r>
      <m:oMath>
        <m:r>
          <w:rPr>
            <w:rFonts w:ascii="Cambria Math" w:hAnsi="Cambria Math"/>
          </w:rPr>
          <m:t>k</m:t>
        </m:r>
      </m:oMath>
    </w:p>
    <w:p w14:paraId="409E6C1C" w14:textId="77777777" w:rsidR="005A745D" w:rsidRPr="005A745D" w:rsidRDefault="005A745D" w:rsidP="005A745D">
      <w:pPr>
        <w:pStyle w:val="Prrafodelista"/>
        <w:numPr>
          <w:ilvl w:val="0"/>
          <w:numId w:val="4"/>
        </w:numPr>
        <w:spacing w:line="278" w:lineRule="auto"/>
        <w:jc w:val="both"/>
        <w:rPr>
          <w:rFonts w:ascii="Verdana" w:hAnsi="Verdana"/>
        </w:rPr>
      </w:pPr>
      <m:oMath>
        <m:r>
          <w:rPr>
            <w:rFonts w:ascii="Cambria Math" w:hAnsi="Cambria Math"/>
          </w:rPr>
          <m:t>UPL</m:t>
        </m:r>
      </m:oMath>
      <w:r w:rsidRPr="005A745D">
        <w:rPr>
          <w:rFonts w:ascii="Verdana" w:hAnsi="Verdana"/>
        </w:rPr>
        <w:t xml:space="preserve"> es el último plazo líquido</w:t>
      </w:r>
    </w:p>
    <w:p w14:paraId="18A64B4F" w14:textId="3D1C2D93" w:rsidR="005A745D" w:rsidRPr="000F2775" w:rsidRDefault="005A745D" w:rsidP="005A745D">
      <w:pPr>
        <w:jc w:val="both"/>
        <w:rPr>
          <w:rFonts w:ascii="Verdana" w:hAnsi="Verdana"/>
          <w:sz w:val="22"/>
          <w:szCs w:val="22"/>
        </w:rPr>
      </w:pPr>
      <w:r w:rsidRPr="000F2775">
        <w:rPr>
          <w:rFonts w:ascii="Verdana" w:hAnsi="Verdana"/>
          <w:sz w:val="22"/>
          <w:szCs w:val="22"/>
        </w:rPr>
        <w:lastRenderedPageBreak/>
        <w:t>De manera similar al cálculo de la CRLR, el vector de inflaciones implícitas se determina tomando promedios (en ventanas anuales) de los datos diarios de los proveedores de precios (ver Tabla 3).</w:t>
      </w:r>
    </w:p>
    <w:p w14:paraId="72CA1584" w14:textId="77777777" w:rsidR="00FD0E6B" w:rsidRPr="000F2775" w:rsidRDefault="00FD0E6B" w:rsidP="005A745D">
      <w:pPr>
        <w:jc w:val="both"/>
        <w:rPr>
          <w:rFonts w:ascii="Verdana" w:hAnsi="Verdana"/>
          <w:sz w:val="22"/>
          <w:szCs w:val="22"/>
        </w:rPr>
      </w:pPr>
    </w:p>
    <w:p w14:paraId="3C112D30" w14:textId="77777777" w:rsidR="00FD0E6B" w:rsidRPr="000F2775" w:rsidRDefault="00FD0E6B" w:rsidP="00FD0E6B">
      <w:pPr>
        <w:jc w:val="both"/>
        <w:rPr>
          <w:rFonts w:ascii="Verdana" w:hAnsi="Verdana"/>
        </w:rPr>
      </w:pPr>
      <w:r w:rsidRPr="000F2775">
        <w:rPr>
          <w:rFonts w:ascii="Verdana" w:hAnsi="Verdana"/>
          <w:sz w:val="22"/>
          <w:szCs w:val="22"/>
        </w:rPr>
        <w:t xml:space="preserve">Con el objetivo de garantizar la equivalencia de la formula anterior, dado que cuando el plazo es mayor al UPL, la </w:t>
      </w:r>
      <m:oMath>
        <m:sSub>
          <m:sSubPr>
            <m:ctrlPr>
              <w:rPr>
                <w:rFonts w:ascii="Cambria Math" w:hAnsi="Cambria Math"/>
                <w:i/>
                <w:sz w:val="22"/>
                <w:szCs w:val="22"/>
              </w:rPr>
            </m:ctrlPr>
          </m:sSubPr>
          <m:e>
            <m:r>
              <w:rPr>
                <w:rFonts w:ascii="Cambria Math" w:hAnsi="Cambria Math"/>
                <w:sz w:val="22"/>
                <w:szCs w:val="22"/>
              </w:rPr>
              <m:t>INFLACIÓN</m:t>
            </m:r>
          </m:e>
          <m:sub>
            <m:r>
              <w:rPr>
                <w:rFonts w:ascii="Cambria Math" w:hAnsi="Cambria Math"/>
                <w:sz w:val="22"/>
                <w:szCs w:val="22"/>
              </w:rPr>
              <m:t>k</m:t>
            </m:r>
          </m:sub>
        </m:sSub>
        <m:r>
          <w:rPr>
            <w:rFonts w:ascii="Cambria Math" w:hAnsi="Cambria Math"/>
            <w:sz w:val="22"/>
            <w:szCs w:val="22"/>
          </w:rPr>
          <m:t>=3%</m:t>
        </m:r>
      </m:oMath>
      <w:r w:rsidRPr="000F2775">
        <w:rPr>
          <w:rFonts w:ascii="Verdana" w:hAnsi="Verdana"/>
          <w:sz w:val="22"/>
          <w:szCs w:val="22"/>
        </w:rPr>
        <w:t xml:space="preserve">, en este caso la </w:t>
      </w:r>
      <m:oMath>
        <m:sSub>
          <m:sSubPr>
            <m:ctrlPr>
              <w:rPr>
                <w:rFonts w:ascii="Cambria Math" w:eastAsia="Times New Roman" w:hAnsi="Cambria Math"/>
                <w:i/>
                <w:lang w:val="es-ES_tradnl"/>
              </w:rPr>
            </m:ctrlPr>
          </m:sSubPr>
          <m:e>
            <m:r>
              <w:rPr>
                <w:rFonts w:ascii="Cambria Math" w:hAnsi="Cambria Math"/>
              </w:rPr>
              <m:t>TDPP</m:t>
            </m:r>
          </m:e>
          <m:sub>
            <m:r>
              <w:rPr>
                <w:rFonts w:ascii="Cambria Math" w:hAnsi="Cambria Math"/>
              </w:rPr>
              <m:t>k</m:t>
            </m:r>
          </m:sub>
        </m:sSub>
      </m:oMath>
      <w:r w:rsidRPr="000F2775">
        <w:rPr>
          <w:rFonts w:ascii="Verdana" w:hAnsi="Verdana"/>
          <w:lang w:val="es-ES_tradnl"/>
        </w:rPr>
        <w:t xml:space="preserve"> se </w:t>
      </w:r>
      <w:r w:rsidRPr="000F2775">
        <w:rPr>
          <w:rFonts w:ascii="Verdana" w:hAnsi="Verdana"/>
          <w:sz w:val="22"/>
          <w:szCs w:val="22"/>
          <w:lang w:val="es-ES_tradnl"/>
        </w:rPr>
        <w:t>determina</w:t>
      </w:r>
      <w:r w:rsidRPr="000F2775">
        <w:rPr>
          <w:rFonts w:ascii="Verdana" w:hAnsi="Verdana"/>
          <w:sz w:val="22"/>
          <w:szCs w:val="22"/>
        </w:rPr>
        <w:t xml:space="preserve"> así:</w:t>
      </w:r>
      <w:r w:rsidRPr="000F2775">
        <w:rPr>
          <w:rFonts w:ascii="Verdana" w:hAnsi="Verdana"/>
        </w:rPr>
        <w:t xml:space="preserve"> </w:t>
      </w:r>
    </w:p>
    <w:p w14:paraId="79FF56B6" w14:textId="77777777" w:rsidR="00FD0E6B" w:rsidRDefault="00FD0E6B" w:rsidP="00FD0E6B">
      <w:pPr>
        <w:rPr>
          <w:rFonts w:ascii="Verdana" w:hAnsi="Verdana"/>
        </w:rPr>
      </w:pPr>
    </w:p>
    <w:p w14:paraId="53AE80DF" w14:textId="77777777" w:rsidR="00FD0E6B" w:rsidRPr="005A745D" w:rsidRDefault="00000000" w:rsidP="00FD0E6B">
      <w:pPr>
        <w:jc w:val="both"/>
        <w:rPr>
          <w:rFonts w:ascii="Verdana" w:hAnsi="Verdana"/>
          <w:sz w:val="22"/>
          <w:szCs w:val="22"/>
        </w:rPr>
      </w:pPr>
      <m:oMathPara>
        <m:oMath>
          <m:sSub>
            <m:sSubPr>
              <m:ctrlPr>
                <w:rPr>
                  <w:rFonts w:ascii="Cambria Math" w:hAnsi="Cambria Math"/>
                  <w:i/>
                  <w:sz w:val="22"/>
                  <w:szCs w:val="22"/>
                </w:rPr>
              </m:ctrlPr>
            </m:sSubPr>
            <m:e>
              <m:r>
                <w:rPr>
                  <w:rFonts w:ascii="Cambria Math" w:hAnsi="Cambria Math"/>
                  <w:sz w:val="22"/>
                  <w:szCs w:val="22"/>
                </w:rPr>
                <m:t>TDPP</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(1+ INFLACIÓN</m:t>
              </m:r>
            </m:e>
            <m:sub>
              <m:r>
                <w:rPr>
                  <w:rFonts w:ascii="Cambria Math" w:hAnsi="Cambria Math"/>
                  <w:sz w:val="22"/>
                  <w:szCs w:val="22"/>
                </w:rPr>
                <m:t>k</m:t>
              </m:r>
            </m:sub>
          </m:sSub>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TDPUVR</m:t>
              </m:r>
            </m:e>
            <m:sub>
              <m:r>
                <w:rPr>
                  <w:rFonts w:ascii="Cambria Math" w:hAnsi="Cambria Math"/>
                  <w:sz w:val="22"/>
                  <w:szCs w:val="22"/>
                </w:rPr>
                <m:t>k</m:t>
              </m:r>
            </m:sub>
          </m:sSub>
          <m:r>
            <w:rPr>
              <w:rFonts w:ascii="Cambria Math" w:hAnsi="Cambria Math"/>
              <w:sz w:val="22"/>
              <w:szCs w:val="22"/>
            </w:rPr>
            <m:t>)]-1                      si k &gt; UPL</m:t>
          </m:r>
        </m:oMath>
      </m:oMathPara>
    </w:p>
    <w:p w14:paraId="6E6ED0DE" w14:textId="77777777" w:rsidR="00FD0E6B" w:rsidRPr="005A745D" w:rsidRDefault="00FD0E6B" w:rsidP="005A745D">
      <w:pPr>
        <w:jc w:val="both"/>
        <w:rPr>
          <w:rFonts w:ascii="Verdana" w:hAnsi="Verdana"/>
          <w:sz w:val="22"/>
          <w:szCs w:val="22"/>
        </w:rPr>
      </w:pPr>
    </w:p>
    <w:p w14:paraId="3EA3E712" w14:textId="77777777" w:rsidR="005A745D" w:rsidRPr="005A745D" w:rsidRDefault="005A745D" w:rsidP="005A745D">
      <w:pPr>
        <w:rPr>
          <w:rFonts w:ascii="Verdana" w:hAnsi="Verdana"/>
          <w:b/>
          <w:bCs/>
          <w:color w:val="1778BD"/>
          <w:sz w:val="22"/>
          <w:szCs w:val="22"/>
        </w:rPr>
      </w:pPr>
    </w:p>
    <w:p w14:paraId="30E4816B" w14:textId="77777777" w:rsidR="005A745D" w:rsidRPr="005A745D" w:rsidRDefault="005A745D" w:rsidP="005A745D">
      <w:pPr>
        <w:pStyle w:val="Prrafodelista"/>
        <w:numPr>
          <w:ilvl w:val="0"/>
          <w:numId w:val="2"/>
        </w:numPr>
        <w:spacing w:line="278" w:lineRule="auto"/>
        <w:rPr>
          <w:rFonts w:ascii="Verdana" w:hAnsi="Verdana"/>
          <w:b/>
          <w:bCs/>
          <w:color w:val="1778BD"/>
        </w:rPr>
      </w:pPr>
      <w:r w:rsidRPr="005A745D">
        <w:rPr>
          <w:rFonts w:ascii="Verdana" w:hAnsi="Verdana"/>
          <w:b/>
          <w:bCs/>
          <w:color w:val="1778BD"/>
        </w:rPr>
        <w:t>Conclusiones</w:t>
      </w:r>
    </w:p>
    <w:p w14:paraId="4945C495" w14:textId="77777777" w:rsidR="005A745D" w:rsidRPr="005A745D" w:rsidRDefault="005A745D" w:rsidP="005A745D">
      <w:pPr>
        <w:jc w:val="both"/>
        <w:rPr>
          <w:rFonts w:ascii="Verdana" w:hAnsi="Verdana"/>
          <w:sz w:val="22"/>
          <w:szCs w:val="22"/>
        </w:rPr>
      </w:pPr>
      <w:r w:rsidRPr="005A745D">
        <w:rPr>
          <w:rFonts w:ascii="Verdana" w:hAnsi="Verdana"/>
          <w:sz w:val="22"/>
          <w:szCs w:val="22"/>
        </w:rPr>
        <w:t xml:space="preserve">Este documento detalla la metodología utilizada para la estimación de la </w:t>
      </w:r>
      <w:r w:rsidRPr="005A745D">
        <w:rPr>
          <w:rFonts w:ascii="Verdana" w:hAnsi="Verdana" w:cs="Arial"/>
          <w:sz w:val="22"/>
          <w:szCs w:val="22"/>
        </w:rPr>
        <w:t>Curva de Rendimiento Libre de Riesgo</w:t>
      </w:r>
      <w:r w:rsidRPr="005A745D">
        <w:rPr>
          <w:rFonts w:ascii="Verdana" w:hAnsi="Verdana"/>
          <w:sz w:val="22"/>
          <w:szCs w:val="22"/>
        </w:rPr>
        <w:t xml:space="preserve"> (CRLR) y el cálculo del vector de inflaciones implícitas, elementos fundamentales para la determinación de las reservas técnicas bajo el marco de la </w:t>
      </w:r>
      <w:r w:rsidRPr="005A745D">
        <w:rPr>
          <w:rFonts w:ascii="Verdana" w:hAnsi="Verdana"/>
          <w:sz w:val="22"/>
          <w:szCs w:val="22"/>
          <w:lang w:val="es-CO"/>
        </w:rPr>
        <w:t>Norma Internacional de Información Financiera 17 (</w:t>
      </w:r>
      <w:r w:rsidRPr="005A745D">
        <w:rPr>
          <w:rFonts w:ascii="Verdana" w:hAnsi="Verdana"/>
          <w:sz w:val="22"/>
          <w:szCs w:val="22"/>
        </w:rPr>
        <w:t>NIIF 17).</w:t>
      </w:r>
    </w:p>
    <w:p w14:paraId="14935263" w14:textId="77777777" w:rsidR="005A745D" w:rsidRPr="005A745D" w:rsidRDefault="005A745D" w:rsidP="005A745D">
      <w:pPr>
        <w:jc w:val="both"/>
        <w:rPr>
          <w:rFonts w:ascii="Verdana" w:hAnsi="Verdana"/>
          <w:sz w:val="22"/>
          <w:szCs w:val="22"/>
        </w:rPr>
      </w:pPr>
    </w:p>
    <w:p w14:paraId="72CC53AA" w14:textId="7F4DCF15" w:rsidR="005A745D" w:rsidRPr="005A745D" w:rsidRDefault="005A745D" w:rsidP="005A745D">
      <w:pPr>
        <w:jc w:val="both"/>
        <w:rPr>
          <w:rFonts w:ascii="Verdana" w:hAnsi="Verdana"/>
          <w:sz w:val="22"/>
          <w:szCs w:val="22"/>
        </w:rPr>
      </w:pPr>
      <w:r w:rsidRPr="005A745D">
        <w:rPr>
          <w:rFonts w:ascii="Verdana" w:hAnsi="Verdana"/>
          <w:sz w:val="22"/>
          <w:szCs w:val="22"/>
        </w:rPr>
        <w:t>Las metodologías adoptadas para la construcción de la CRLR fueron las de Nelson &amp; Siegel y Smith &amp; Wilson para la interpolación y extrapolación de tasas, alineadas con los estándares de Solvencia II, considerando que la metodología de Nelson &amp; Siegel es adecuada para modelar las tasas dentro de los plazos líquidos, y el modelo desarrollado por Smith &amp; Wilson se usa para extrapolar más allá del UPL, garantizando convergencia a la UFR (tasa de interés forward de largo plazo).</w:t>
      </w:r>
    </w:p>
    <w:p w14:paraId="23B28756" w14:textId="77777777" w:rsidR="005A745D" w:rsidRPr="005A745D" w:rsidRDefault="005A745D" w:rsidP="005A745D">
      <w:pPr>
        <w:jc w:val="both"/>
        <w:rPr>
          <w:rFonts w:ascii="Verdana" w:hAnsi="Verdana"/>
          <w:sz w:val="22"/>
          <w:szCs w:val="22"/>
        </w:rPr>
      </w:pPr>
    </w:p>
    <w:p w14:paraId="12FEBB59" w14:textId="30D37D23" w:rsidR="005A745D" w:rsidRPr="005A745D" w:rsidRDefault="005A745D" w:rsidP="00DE1BE9">
      <w:pPr>
        <w:jc w:val="both"/>
        <w:rPr>
          <w:rFonts w:ascii="Verdana" w:hAnsi="Verdana"/>
          <w:sz w:val="22"/>
          <w:szCs w:val="22"/>
        </w:rPr>
      </w:pPr>
      <w:r w:rsidRPr="005A745D">
        <w:rPr>
          <w:rFonts w:ascii="Verdana" w:hAnsi="Verdana"/>
          <w:sz w:val="22"/>
          <w:szCs w:val="22"/>
        </w:rPr>
        <w:t>En la definición del UPL se identificó que el mercado colombiano de bonos soberanos no cumple con las condiciones de un mercado PLT, sin embargo, el UPL se defin</w:t>
      </w:r>
      <w:r w:rsidR="00955808">
        <w:rPr>
          <w:rFonts w:ascii="Verdana" w:hAnsi="Verdana"/>
          <w:sz w:val="22"/>
          <w:szCs w:val="22"/>
        </w:rPr>
        <w:t xml:space="preserve">e </w:t>
      </w:r>
      <w:r w:rsidRPr="005A745D">
        <w:rPr>
          <w:rFonts w:ascii="Verdana" w:hAnsi="Verdana"/>
          <w:sz w:val="22"/>
          <w:szCs w:val="22"/>
        </w:rPr>
        <w:t>de forma dinámica tomando el mayor vencimiento de los TES en pesos y en UVR disponibles en el mercado.</w:t>
      </w:r>
    </w:p>
    <w:p w14:paraId="5165F549" w14:textId="77777777" w:rsidR="005A745D" w:rsidRPr="005A745D" w:rsidRDefault="005A745D" w:rsidP="005A745D">
      <w:pPr>
        <w:jc w:val="both"/>
        <w:rPr>
          <w:rFonts w:ascii="Verdana" w:hAnsi="Verdana"/>
          <w:sz w:val="22"/>
          <w:szCs w:val="22"/>
        </w:rPr>
      </w:pPr>
    </w:p>
    <w:p w14:paraId="4F7FD4F3" w14:textId="547C5795" w:rsidR="005A745D" w:rsidRPr="005A745D" w:rsidRDefault="005A745D" w:rsidP="005A745D">
      <w:pPr>
        <w:jc w:val="both"/>
        <w:rPr>
          <w:rFonts w:ascii="Verdana" w:hAnsi="Verdana"/>
          <w:sz w:val="22"/>
          <w:szCs w:val="22"/>
        </w:rPr>
      </w:pPr>
      <w:r w:rsidRPr="005A745D">
        <w:rPr>
          <w:rFonts w:ascii="Verdana" w:hAnsi="Verdana"/>
          <w:sz w:val="22"/>
          <w:szCs w:val="22"/>
        </w:rPr>
        <w:t xml:space="preserve">Con respecto a la UFR (tasa de interés forward de largo plazo) se propone considerar </w:t>
      </w:r>
      <w:r w:rsidR="008846F0">
        <w:rPr>
          <w:rFonts w:ascii="Verdana" w:hAnsi="Verdana"/>
          <w:sz w:val="22"/>
          <w:szCs w:val="22"/>
        </w:rPr>
        <w:t>la tasa de interés real neutral</w:t>
      </w:r>
      <w:r w:rsidRPr="005A745D">
        <w:rPr>
          <w:rFonts w:ascii="Verdana" w:hAnsi="Verdana"/>
          <w:sz w:val="22"/>
          <w:szCs w:val="22"/>
        </w:rPr>
        <w:t xml:space="preserve"> de Colombia como referencia para la curva en UVR (2,7%) y adiciona</w:t>
      </w:r>
      <w:r w:rsidR="00955808">
        <w:rPr>
          <w:rFonts w:ascii="Verdana" w:hAnsi="Verdana"/>
          <w:sz w:val="22"/>
          <w:szCs w:val="22"/>
        </w:rPr>
        <w:t>r</w:t>
      </w:r>
      <w:r w:rsidRPr="005A745D">
        <w:rPr>
          <w:rFonts w:ascii="Verdana" w:hAnsi="Verdana"/>
          <w:sz w:val="22"/>
          <w:szCs w:val="22"/>
        </w:rPr>
        <w:t xml:space="preserve"> la inflación objetivo para la curva en pesos (5,7%), teniendo en cuenta el estándar internacional que limita a 15 puntos básicos la variación de este parámetro. Estos valores que se alinean con las condiciones del mercado local. Para el periodo de convergencia se establec</w:t>
      </w:r>
      <w:r w:rsidR="00955808">
        <w:rPr>
          <w:rFonts w:ascii="Verdana" w:hAnsi="Verdana"/>
          <w:sz w:val="22"/>
          <w:szCs w:val="22"/>
        </w:rPr>
        <w:t>e</w:t>
      </w:r>
      <w:r w:rsidRPr="005A745D">
        <w:rPr>
          <w:rFonts w:ascii="Verdana" w:hAnsi="Verdana"/>
          <w:sz w:val="22"/>
          <w:szCs w:val="22"/>
        </w:rPr>
        <w:t xml:space="preserve"> 66 años para COP y 65 años para UVR, ajust</w:t>
      </w:r>
      <w:r w:rsidR="00955808">
        <w:rPr>
          <w:rFonts w:ascii="Verdana" w:hAnsi="Verdana"/>
          <w:sz w:val="22"/>
          <w:szCs w:val="22"/>
        </w:rPr>
        <w:t>án</w:t>
      </w:r>
      <w:r w:rsidRPr="005A745D">
        <w:rPr>
          <w:rFonts w:ascii="Verdana" w:hAnsi="Verdana"/>
          <w:sz w:val="22"/>
          <w:szCs w:val="22"/>
        </w:rPr>
        <w:t>do</w:t>
      </w:r>
      <w:r w:rsidR="00955808">
        <w:rPr>
          <w:rFonts w:ascii="Verdana" w:hAnsi="Verdana"/>
          <w:sz w:val="22"/>
          <w:szCs w:val="22"/>
        </w:rPr>
        <w:t>lo</w:t>
      </w:r>
      <w:r w:rsidRPr="005A745D">
        <w:rPr>
          <w:rFonts w:ascii="Verdana" w:hAnsi="Verdana"/>
          <w:sz w:val="22"/>
          <w:szCs w:val="22"/>
        </w:rPr>
        <w:t xml:space="preserve"> dinámicamente con base en la evolución del UPL. Para el plazo máximo, se determin</w:t>
      </w:r>
      <w:r w:rsidR="00955808">
        <w:rPr>
          <w:rFonts w:ascii="Verdana" w:hAnsi="Verdana"/>
          <w:sz w:val="22"/>
          <w:szCs w:val="22"/>
        </w:rPr>
        <w:t>a</w:t>
      </w:r>
      <w:r w:rsidRPr="005A745D">
        <w:rPr>
          <w:rFonts w:ascii="Verdana" w:hAnsi="Verdana"/>
          <w:sz w:val="22"/>
          <w:szCs w:val="22"/>
        </w:rPr>
        <w:t xml:space="preserve"> en 120 años, considerando las proyecciones demográficas y la normativa internacional. </w:t>
      </w:r>
    </w:p>
    <w:p w14:paraId="76194989" w14:textId="77777777" w:rsidR="005A745D" w:rsidRPr="005A745D" w:rsidRDefault="005A745D" w:rsidP="005A745D">
      <w:pPr>
        <w:jc w:val="both"/>
        <w:rPr>
          <w:rFonts w:ascii="Verdana" w:hAnsi="Verdana"/>
          <w:sz w:val="22"/>
          <w:szCs w:val="22"/>
        </w:rPr>
      </w:pPr>
    </w:p>
    <w:p w14:paraId="4327161D" w14:textId="3C7B7187" w:rsidR="005A745D" w:rsidRPr="005A745D" w:rsidRDefault="005A745D" w:rsidP="005A745D">
      <w:pPr>
        <w:jc w:val="both"/>
        <w:rPr>
          <w:rFonts w:ascii="Verdana" w:hAnsi="Verdana"/>
          <w:sz w:val="22"/>
          <w:szCs w:val="22"/>
        </w:rPr>
      </w:pPr>
      <w:r w:rsidRPr="005A745D">
        <w:rPr>
          <w:rFonts w:ascii="Verdana" w:hAnsi="Verdana"/>
          <w:sz w:val="22"/>
          <w:szCs w:val="22"/>
        </w:rPr>
        <w:t>Por otro lado, con el objetivo de suavizar la volatilidad y mejorar la estabilidad en la CRLR se implement</w:t>
      </w:r>
      <w:r w:rsidR="00955808">
        <w:rPr>
          <w:rFonts w:ascii="Verdana" w:hAnsi="Verdana"/>
          <w:sz w:val="22"/>
          <w:szCs w:val="22"/>
        </w:rPr>
        <w:t>a</w:t>
      </w:r>
      <w:r w:rsidRPr="005A745D">
        <w:rPr>
          <w:rFonts w:ascii="Verdana" w:hAnsi="Verdana"/>
          <w:sz w:val="22"/>
          <w:szCs w:val="22"/>
        </w:rPr>
        <w:t xml:space="preserve"> un esquema de ponderación geométrica. Asimismo, </w:t>
      </w:r>
      <w:r w:rsidRPr="005A745D">
        <w:rPr>
          <w:rFonts w:ascii="Verdana" w:hAnsi="Verdana"/>
          <w:sz w:val="22"/>
          <w:szCs w:val="22"/>
        </w:rPr>
        <w:lastRenderedPageBreak/>
        <w:t>con la estimación de la CRLR se obtiene la inflación implícita a partir de la diferencia entre las curvas cero cupón en pesos y UVR, utilizando datos de los proveedores de precios y aplicando promedios móviles anuales.</w:t>
      </w:r>
    </w:p>
    <w:p w14:paraId="4D882E6D" w14:textId="77777777" w:rsidR="005A745D" w:rsidRPr="005A745D" w:rsidRDefault="005A745D" w:rsidP="005A745D">
      <w:pPr>
        <w:jc w:val="both"/>
        <w:rPr>
          <w:rFonts w:ascii="Verdana" w:hAnsi="Verdana"/>
          <w:sz w:val="22"/>
          <w:szCs w:val="22"/>
        </w:rPr>
      </w:pPr>
    </w:p>
    <w:p w14:paraId="7C69E7E8" w14:textId="77777777" w:rsidR="005A745D" w:rsidRPr="005A745D" w:rsidRDefault="005A745D" w:rsidP="005A745D">
      <w:pPr>
        <w:jc w:val="both"/>
        <w:rPr>
          <w:rFonts w:ascii="Verdana" w:hAnsi="Verdana"/>
          <w:sz w:val="22"/>
          <w:szCs w:val="22"/>
        </w:rPr>
      </w:pPr>
      <w:r w:rsidRPr="005A745D">
        <w:rPr>
          <w:rFonts w:ascii="Verdana" w:hAnsi="Verdana"/>
          <w:sz w:val="22"/>
          <w:szCs w:val="22"/>
        </w:rPr>
        <w:t>La Superintendencia Financiera de Colombia, una vez se expida la normatividad relacionada con la determinación de las reservas técnicas de las compañías de seguros en el marco de la implementación de la NIIF 17, publicará periódicamente los vectores de la curva de rendimiento libre de riesgo y el vector de inflaciones implícitas, a partir de las consideraciones metodológicas expuestas en este documento técnico.</w:t>
      </w:r>
    </w:p>
    <w:p w14:paraId="05F2A718" w14:textId="77777777" w:rsidR="005A745D" w:rsidRDefault="005A745D" w:rsidP="005A745D">
      <w:pPr>
        <w:jc w:val="both"/>
        <w:rPr>
          <w:rFonts w:ascii="Verdana" w:hAnsi="Verdana"/>
          <w:sz w:val="22"/>
          <w:szCs w:val="22"/>
        </w:rPr>
      </w:pPr>
    </w:p>
    <w:p w14:paraId="3DF142AA" w14:textId="77777777" w:rsidR="00755DD9" w:rsidRPr="005A745D" w:rsidRDefault="00755DD9" w:rsidP="00755DD9">
      <w:pPr>
        <w:jc w:val="both"/>
        <w:rPr>
          <w:rFonts w:ascii="Verdana" w:hAnsi="Verdana"/>
          <w:sz w:val="22"/>
          <w:szCs w:val="22"/>
        </w:rPr>
      </w:pPr>
      <w:r>
        <w:rPr>
          <w:rFonts w:ascii="Verdana" w:hAnsi="Verdana"/>
          <w:sz w:val="22"/>
          <w:szCs w:val="22"/>
        </w:rPr>
        <w:t xml:space="preserve">Finalmente, el siguiente diagrama de flujo esquematiza el proceso y los pasos empleados para estimar la CRLR. </w:t>
      </w:r>
    </w:p>
    <w:p w14:paraId="6B975B3B" w14:textId="77777777" w:rsidR="00755DD9" w:rsidRPr="005A745D" w:rsidRDefault="00755DD9" w:rsidP="00755DD9">
      <w:pPr>
        <w:jc w:val="both"/>
        <w:rPr>
          <w:rFonts w:ascii="Verdana" w:hAnsi="Verdana"/>
          <w:sz w:val="22"/>
          <w:szCs w:val="22"/>
        </w:rPr>
      </w:pPr>
    </w:p>
    <w:p w14:paraId="2893E0B8" w14:textId="77777777" w:rsidR="00755DD9" w:rsidRPr="005A745D" w:rsidRDefault="00755DD9" w:rsidP="00755DD9">
      <w:pPr>
        <w:pStyle w:val="Descripcin"/>
        <w:keepNext/>
        <w:jc w:val="center"/>
        <w:rPr>
          <w:rFonts w:ascii="Verdana" w:hAnsi="Verdana"/>
          <w:b/>
          <w:bCs/>
          <w:i w:val="0"/>
          <w:iCs w:val="0"/>
          <w:color w:val="auto"/>
          <w:sz w:val="22"/>
          <w:szCs w:val="22"/>
        </w:rPr>
      </w:pPr>
      <w:r w:rsidRPr="005A745D">
        <w:rPr>
          <w:rFonts w:ascii="Verdana" w:hAnsi="Verdana"/>
          <w:b/>
          <w:bCs/>
          <w:i w:val="0"/>
          <w:iCs w:val="0"/>
          <w:color w:val="auto"/>
          <w:sz w:val="22"/>
          <w:szCs w:val="22"/>
        </w:rPr>
        <w:t xml:space="preserve">Gráfica </w:t>
      </w:r>
      <w:r w:rsidRPr="005A745D">
        <w:rPr>
          <w:rFonts w:ascii="Verdana" w:hAnsi="Verdana"/>
          <w:b/>
          <w:bCs/>
          <w:i w:val="0"/>
          <w:iCs w:val="0"/>
          <w:color w:val="auto"/>
          <w:sz w:val="22"/>
          <w:szCs w:val="22"/>
        </w:rPr>
        <w:fldChar w:fldCharType="begin"/>
      </w:r>
      <w:r w:rsidRPr="005A745D">
        <w:rPr>
          <w:rFonts w:ascii="Verdana" w:hAnsi="Verdana"/>
          <w:b/>
          <w:bCs/>
          <w:i w:val="0"/>
          <w:iCs w:val="0"/>
          <w:color w:val="auto"/>
          <w:sz w:val="22"/>
          <w:szCs w:val="22"/>
        </w:rPr>
        <w:instrText xml:space="preserve"> SEQ Gráfica \* ARABIC </w:instrText>
      </w:r>
      <w:r w:rsidRPr="005A745D">
        <w:rPr>
          <w:rFonts w:ascii="Verdana" w:hAnsi="Verdana"/>
          <w:b/>
          <w:bCs/>
          <w:i w:val="0"/>
          <w:iCs w:val="0"/>
          <w:color w:val="auto"/>
          <w:sz w:val="22"/>
          <w:szCs w:val="22"/>
        </w:rPr>
        <w:fldChar w:fldCharType="separate"/>
      </w:r>
      <w:r>
        <w:rPr>
          <w:rFonts w:ascii="Verdana" w:hAnsi="Verdana"/>
          <w:b/>
          <w:bCs/>
          <w:i w:val="0"/>
          <w:iCs w:val="0"/>
          <w:noProof/>
          <w:color w:val="auto"/>
          <w:sz w:val="22"/>
          <w:szCs w:val="22"/>
        </w:rPr>
        <w:t>3</w:t>
      </w:r>
      <w:r w:rsidRPr="005A745D">
        <w:rPr>
          <w:rFonts w:ascii="Verdana" w:hAnsi="Verdana"/>
          <w:b/>
          <w:bCs/>
          <w:i w:val="0"/>
          <w:iCs w:val="0"/>
          <w:color w:val="auto"/>
          <w:sz w:val="22"/>
          <w:szCs w:val="22"/>
        </w:rPr>
        <w:fldChar w:fldCharType="end"/>
      </w:r>
      <w:r w:rsidRPr="005A745D">
        <w:rPr>
          <w:rFonts w:ascii="Verdana" w:hAnsi="Verdana"/>
          <w:b/>
          <w:bCs/>
          <w:i w:val="0"/>
          <w:iCs w:val="0"/>
          <w:color w:val="auto"/>
          <w:sz w:val="22"/>
          <w:szCs w:val="22"/>
        </w:rPr>
        <w:t xml:space="preserve">. </w:t>
      </w:r>
      <w:r>
        <w:rPr>
          <w:rFonts w:ascii="Verdana" w:hAnsi="Verdana"/>
          <w:b/>
          <w:bCs/>
          <w:i w:val="0"/>
          <w:iCs w:val="0"/>
          <w:color w:val="auto"/>
          <w:sz w:val="22"/>
          <w:szCs w:val="22"/>
        </w:rPr>
        <w:t>Diagrama de flujo para cálculo de CRLR</w:t>
      </w:r>
    </w:p>
    <w:p w14:paraId="4C20B71A" w14:textId="77777777" w:rsidR="00755DD9" w:rsidRPr="00431236" w:rsidRDefault="00755DD9" w:rsidP="00755DD9">
      <w:pPr>
        <w:jc w:val="center"/>
        <w:rPr>
          <w:rFonts w:ascii="Verdana" w:hAnsi="Verdana"/>
          <w:b/>
          <w:bCs/>
          <w:color w:val="1778BD"/>
          <w:sz w:val="22"/>
          <w:szCs w:val="22"/>
          <w:lang w:val="es-ES_tradnl"/>
        </w:rPr>
      </w:pPr>
      <w:r>
        <w:rPr>
          <w:rFonts w:ascii="Verdana" w:hAnsi="Verdana"/>
          <w:b/>
          <w:bCs/>
          <w:noProof/>
          <w:color w:val="1778BD"/>
          <w:sz w:val="22"/>
          <w:szCs w:val="22"/>
          <w:lang w:val="es-CO" w:eastAsia="es-CO"/>
        </w:rPr>
        <w:drawing>
          <wp:inline distT="0" distB="0" distL="0" distR="0" wp14:anchorId="650C54C3" wp14:editId="1AC49F26">
            <wp:extent cx="3483696" cy="3585435"/>
            <wp:effectExtent l="0" t="0" r="2540" b="0"/>
            <wp:docPr id="169573531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735313" name="Imagen 2" descr="Texto&#10;&#10;El contenido generado por IA puede ser incorrect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91083" cy="3593037"/>
                    </a:xfrm>
                    <a:prstGeom prst="rect">
                      <a:avLst/>
                    </a:prstGeom>
                    <a:noFill/>
                  </pic:spPr>
                </pic:pic>
              </a:graphicData>
            </a:graphic>
          </wp:inline>
        </w:drawing>
      </w:r>
    </w:p>
    <w:p w14:paraId="4CCE2F68" w14:textId="247FA9BA" w:rsidR="00E879A0" w:rsidRPr="000F2775" w:rsidRDefault="00755DD9" w:rsidP="000F2775">
      <w:pPr>
        <w:keepNext/>
        <w:jc w:val="center"/>
        <w:rPr>
          <w:rFonts w:ascii="Verdana" w:hAnsi="Verdana"/>
          <w:sz w:val="16"/>
          <w:szCs w:val="16"/>
        </w:rPr>
      </w:pPr>
      <w:r w:rsidRPr="00BB3AAA">
        <w:rPr>
          <w:rFonts w:ascii="Verdana" w:hAnsi="Verdana"/>
          <w:sz w:val="16"/>
          <w:szCs w:val="16"/>
        </w:rPr>
        <w:t xml:space="preserve">Fuente: </w:t>
      </w:r>
      <w:r>
        <w:rPr>
          <w:rFonts w:ascii="Verdana" w:hAnsi="Verdana"/>
          <w:sz w:val="16"/>
          <w:szCs w:val="16"/>
        </w:rPr>
        <w:t>Elaboración propia.</w:t>
      </w:r>
    </w:p>
    <w:p w14:paraId="4EA03888" w14:textId="77777777" w:rsidR="00E879A0" w:rsidRDefault="00E879A0" w:rsidP="005A745D">
      <w:pPr>
        <w:rPr>
          <w:rFonts w:ascii="Verdana" w:hAnsi="Verdana"/>
          <w:b/>
          <w:bCs/>
          <w:color w:val="1778BD"/>
          <w:sz w:val="22"/>
          <w:szCs w:val="22"/>
        </w:rPr>
      </w:pPr>
    </w:p>
    <w:p w14:paraId="55155FDA" w14:textId="77777777" w:rsidR="00E879A0" w:rsidRPr="005A745D" w:rsidRDefault="00E879A0" w:rsidP="005A745D">
      <w:pPr>
        <w:rPr>
          <w:rFonts w:ascii="Verdana" w:hAnsi="Verdana"/>
          <w:b/>
          <w:bCs/>
          <w:color w:val="1778BD"/>
          <w:sz w:val="22"/>
          <w:szCs w:val="22"/>
        </w:rPr>
      </w:pPr>
    </w:p>
    <w:p w14:paraId="0A7E8DD0" w14:textId="77777777" w:rsidR="005A745D" w:rsidRPr="005A745D" w:rsidRDefault="005A745D" w:rsidP="005A745D">
      <w:pPr>
        <w:keepNext/>
        <w:rPr>
          <w:rFonts w:ascii="Verdana" w:hAnsi="Verdana"/>
          <w:b/>
          <w:bCs/>
          <w:color w:val="1778BD"/>
          <w:sz w:val="22"/>
          <w:szCs w:val="22"/>
        </w:rPr>
      </w:pPr>
    </w:p>
    <w:p w14:paraId="34130CA6" w14:textId="77777777" w:rsidR="005A745D" w:rsidRPr="005A745D" w:rsidRDefault="005A745D" w:rsidP="005A745D">
      <w:pPr>
        <w:pStyle w:val="Prrafodelista"/>
        <w:keepNext/>
        <w:numPr>
          <w:ilvl w:val="0"/>
          <w:numId w:val="2"/>
        </w:numPr>
        <w:spacing w:line="278" w:lineRule="auto"/>
        <w:rPr>
          <w:rFonts w:ascii="Verdana" w:hAnsi="Verdana"/>
          <w:b/>
          <w:bCs/>
          <w:color w:val="1778BD"/>
        </w:rPr>
      </w:pPr>
      <w:r w:rsidRPr="005A745D">
        <w:rPr>
          <w:rFonts w:ascii="Verdana" w:hAnsi="Verdana"/>
          <w:b/>
          <w:bCs/>
          <w:color w:val="1778BD"/>
        </w:rPr>
        <w:t>Bibliografía</w:t>
      </w:r>
    </w:p>
    <w:sdt>
      <w:sdtPr>
        <w:rPr>
          <w:rFonts w:ascii="Verdana" w:eastAsia="MS Mincho" w:hAnsi="Verdana"/>
          <w:sz w:val="22"/>
          <w:szCs w:val="22"/>
          <w:lang w:val="es-ES"/>
        </w:rPr>
        <w:id w:val="393777286"/>
        <w:docPartObj>
          <w:docPartGallery w:val="Bibliographies"/>
          <w:docPartUnique/>
        </w:docPartObj>
      </w:sdtPr>
      <w:sdtContent>
        <w:sdt>
          <w:sdtPr>
            <w:rPr>
              <w:rFonts w:ascii="Verdana" w:eastAsia="MS Mincho" w:hAnsi="Verdana"/>
              <w:sz w:val="22"/>
              <w:szCs w:val="22"/>
              <w:lang w:val="es-ES"/>
            </w:rPr>
            <w:id w:val="111145805"/>
            <w:bibliography/>
          </w:sdtPr>
          <w:sdtContent>
            <w:p w14:paraId="57F00D05" w14:textId="77777777" w:rsidR="009A5872" w:rsidRPr="00DB687B" w:rsidRDefault="005A745D" w:rsidP="009A5872">
              <w:pPr>
                <w:pStyle w:val="Bibliografa"/>
                <w:ind w:left="720" w:hanging="720"/>
                <w:rPr>
                  <w:rFonts w:ascii="Verdana" w:hAnsi="Verdana"/>
                  <w:noProof/>
                  <w:sz w:val="22"/>
                  <w:szCs w:val="22"/>
                  <w:lang w:val="en-US"/>
                </w:rPr>
              </w:pPr>
              <w:r w:rsidRPr="009A5872">
                <w:rPr>
                  <w:rFonts w:ascii="Verdana" w:hAnsi="Verdana"/>
                  <w:sz w:val="22"/>
                  <w:szCs w:val="22"/>
                </w:rPr>
                <w:fldChar w:fldCharType="begin"/>
              </w:r>
              <w:r w:rsidRPr="009A5872">
                <w:rPr>
                  <w:rFonts w:ascii="Verdana" w:hAnsi="Verdana"/>
                  <w:sz w:val="22"/>
                  <w:szCs w:val="22"/>
                  <w:lang w:val="en-US"/>
                </w:rPr>
                <w:instrText>BIBLIOGRAPHY</w:instrText>
              </w:r>
              <w:r w:rsidRPr="009A5872">
                <w:rPr>
                  <w:rFonts w:ascii="Verdana" w:hAnsi="Verdana"/>
                  <w:sz w:val="22"/>
                  <w:szCs w:val="22"/>
                </w:rPr>
                <w:fldChar w:fldCharType="separate"/>
              </w:r>
              <w:r w:rsidR="009A5872" w:rsidRPr="009A5872">
                <w:rPr>
                  <w:rFonts w:ascii="Verdana" w:hAnsi="Verdana"/>
                  <w:noProof/>
                  <w:sz w:val="22"/>
                  <w:szCs w:val="22"/>
                  <w:lang w:val="en-US"/>
                </w:rPr>
                <w:t xml:space="preserve">Akinyemi, K., Kerbeshian, J., Leiser, B., &amp; Matson, P. (2019). Yield Curve Extrapolation Methods Methodologies for Valuing Cash Flows That Extend Beyond the Maximum Yield Curve. </w:t>
              </w:r>
              <w:r w:rsidR="009A5872" w:rsidRPr="00DB687B">
                <w:rPr>
                  <w:rFonts w:ascii="Verdana" w:hAnsi="Verdana"/>
                  <w:i/>
                  <w:iCs/>
                  <w:noProof/>
                  <w:sz w:val="22"/>
                  <w:szCs w:val="22"/>
                  <w:lang w:val="en-US"/>
                </w:rPr>
                <w:t>Society of Actuaries Committee on Finance Research</w:t>
              </w:r>
              <w:r w:rsidR="009A5872" w:rsidRPr="00DB687B">
                <w:rPr>
                  <w:rFonts w:ascii="Verdana" w:hAnsi="Verdana"/>
                  <w:noProof/>
                  <w:sz w:val="22"/>
                  <w:szCs w:val="22"/>
                  <w:lang w:val="en-US"/>
                </w:rPr>
                <w:t>, 35.</w:t>
              </w:r>
            </w:p>
            <w:p w14:paraId="2F3061F1" w14:textId="63AF2A13" w:rsidR="009A5872" w:rsidRPr="009A5872" w:rsidRDefault="009A5872" w:rsidP="009A5872">
              <w:pPr>
                <w:pStyle w:val="Bibliografa"/>
                <w:ind w:left="720" w:hanging="720"/>
                <w:rPr>
                  <w:rFonts w:ascii="Verdana" w:hAnsi="Verdana"/>
                  <w:noProof/>
                  <w:sz w:val="22"/>
                  <w:szCs w:val="22"/>
                </w:rPr>
              </w:pPr>
              <w:r w:rsidRPr="00DB687B">
                <w:rPr>
                  <w:rFonts w:ascii="Verdana" w:hAnsi="Verdana"/>
                  <w:noProof/>
                  <w:sz w:val="22"/>
                  <w:szCs w:val="22"/>
                  <w:lang w:val="en-US"/>
                </w:rPr>
                <w:t xml:space="preserve">Banco de la República. </w:t>
              </w:r>
              <w:r>
                <w:rPr>
                  <w:rFonts w:ascii="Verdana" w:hAnsi="Verdana"/>
                  <w:noProof/>
                  <w:sz w:val="22"/>
                  <w:szCs w:val="22"/>
                </w:rPr>
                <w:t>(2025</w:t>
              </w:r>
              <w:r w:rsidRPr="009A5872">
                <w:rPr>
                  <w:rFonts w:ascii="Verdana" w:hAnsi="Verdana"/>
                  <w:noProof/>
                  <w:sz w:val="22"/>
                  <w:szCs w:val="22"/>
                </w:rPr>
                <w:t xml:space="preserve">). </w:t>
              </w:r>
              <w:r w:rsidRPr="009A5872">
                <w:rPr>
                  <w:rFonts w:ascii="Verdana" w:hAnsi="Verdana"/>
                  <w:i/>
                  <w:iCs/>
                  <w:noProof/>
                  <w:sz w:val="22"/>
                  <w:szCs w:val="22"/>
                </w:rPr>
                <w:t>Informe de política monetaria.</w:t>
              </w:r>
              <w:r w:rsidRPr="009A5872">
                <w:rPr>
                  <w:rFonts w:ascii="Verdana" w:hAnsi="Verdana"/>
                  <w:noProof/>
                  <w:sz w:val="22"/>
                  <w:szCs w:val="22"/>
                </w:rPr>
                <w:t xml:space="preserve"> Bogotá, D.C.: Banco de la República.</w:t>
              </w:r>
            </w:p>
            <w:p w14:paraId="6E2A2E51" w14:textId="77777777" w:rsidR="009A5872" w:rsidRPr="009A5872" w:rsidRDefault="009A5872" w:rsidP="009A5872">
              <w:pPr>
                <w:pStyle w:val="Bibliografa"/>
                <w:ind w:left="720" w:hanging="720"/>
                <w:rPr>
                  <w:rFonts w:ascii="Verdana" w:hAnsi="Verdana"/>
                  <w:noProof/>
                  <w:sz w:val="22"/>
                  <w:szCs w:val="22"/>
                  <w:lang w:val="en-US"/>
                </w:rPr>
              </w:pPr>
              <w:r w:rsidRPr="009A5872">
                <w:rPr>
                  <w:rFonts w:ascii="Verdana" w:hAnsi="Verdana"/>
                  <w:noProof/>
                  <w:sz w:val="22"/>
                  <w:szCs w:val="22"/>
                </w:rPr>
                <w:t xml:space="preserve">Bank of Europe. (2009). Directiva 2009/138/CE del Parlamento Europeo y del Consejo. </w:t>
              </w:r>
              <w:r w:rsidRPr="009A5872">
                <w:rPr>
                  <w:rFonts w:ascii="Verdana" w:hAnsi="Verdana"/>
                  <w:i/>
                  <w:iCs/>
                  <w:noProof/>
                  <w:sz w:val="22"/>
                  <w:szCs w:val="22"/>
                  <w:lang w:val="en-US"/>
                </w:rPr>
                <w:t>Diario Oficial de la Unión Europea</w:t>
              </w:r>
              <w:r w:rsidRPr="009A5872">
                <w:rPr>
                  <w:rFonts w:ascii="Verdana" w:hAnsi="Verdana"/>
                  <w:noProof/>
                  <w:sz w:val="22"/>
                  <w:szCs w:val="22"/>
                  <w:lang w:val="en-US"/>
                </w:rPr>
                <w:t>, 155.</w:t>
              </w:r>
            </w:p>
            <w:p w14:paraId="633FDC79" w14:textId="77777777" w:rsidR="009A5872" w:rsidRPr="009A5872" w:rsidRDefault="009A5872" w:rsidP="009A5872">
              <w:pPr>
                <w:pStyle w:val="Bibliografa"/>
                <w:ind w:left="720" w:hanging="720"/>
                <w:rPr>
                  <w:rFonts w:ascii="Verdana" w:hAnsi="Verdana"/>
                  <w:noProof/>
                  <w:sz w:val="22"/>
                  <w:szCs w:val="22"/>
                  <w:lang w:val="en-US"/>
                </w:rPr>
              </w:pPr>
              <w:r w:rsidRPr="009A5872">
                <w:rPr>
                  <w:rFonts w:ascii="Verdana" w:hAnsi="Verdana"/>
                  <w:noProof/>
                  <w:sz w:val="22"/>
                  <w:szCs w:val="22"/>
                  <w:lang w:val="en-US"/>
                </w:rPr>
                <w:t xml:space="preserve">EIOPA. (2021). </w:t>
              </w:r>
              <w:r w:rsidRPr="009A5872">
                <w:rPr>
                  <w:rFonts w:ascii="Verdana" w:hAnsi="Verdana"/>
                  <w:i/>
                  <w:iCs/>
                  <w:noProof/>
                  <w:sz w:val="22"/>
                  <w:szCs w:val="22"/>
                  <w:lang w:val="en-US"/>
                </w:rPr>
                <w:t>Technical documentation of the methodology to derive EIOPA’s risk-free interest rate term structures.</w:t>
              </w:r>
              <w:r w:rsidRPr="009A5872">
                <w:rPr>
                  <w:rFonts w:ascii="Verdana" w:hAnsi="Verdana"/>
                  <w:noProof/>
                  <w:sz w:val="22"/>
                  <w:szCs w:val="22"/>
                  <w:lang w:val="en-US"/>
                </w:rPr>
                <w:t xml:space="preserve"> </w:t>
              </w:r>
            </w:p>
            <w:p w14:paraId="23FA0253"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noProof/>
                  <w:sz w:val="22"/>
                  <w:szCs w:val="22"/>
                  <w:lang w:val="en-US"/>
                </w:rPr>
                <w:t xml:space="preserve">EIOPA. (Diciembre de 2023). </w:t>
              </w:r>
              <w:r w:rsidRPr="009A5872">
                <w:rPr>
                  <w:rFonts w:ascii="Verdana" w:hAnsi="Verdana"/>
                  <w:i/>
                  <w:iCs/>
                  <w:noProof/>
                  <w:sz w:val="22"/>
                  <w:szCs w:val="22"/>
                  <w:lang w:val="en-US"/>
                </w:rPr>
                <w:t>RFR Technical documentation The methodology to derive EIOPA’s risk-free interest rate term structures.</w:t>
              </w:r>
              <w:r w:rsidRPr="009A5872">
                <w:rPr>
                  <w:rFonts w:ascii="Verdana" w:hAnsi="Verdana"/>
                  <w:noProof/>
                  <w:sz w:val="22"/>
                  <w:szCs w:val="22"/>
                  <w:lang w:val="en-US"/>
                </w:rPr>
                <w:t xml:space="preserve"> </w:t>
              </w:r>
              <w:r w:rsidRPr="009A5872">
                <w:rPr>
                  <w:rFonts w:ascii="Verdana" w:hAnsi="Verdana"/>
                  <w:noProof/>
                  <w:sz w:val="22"/>
                  <w:szCs w:val="22"/>
                </w:rPr>
                <w:t>Obtenido de EIOPA: chrome-extension://efaidnbmnnnibpcajpcglclefindmkaj/https://www.eiopa.europa.eu/system/files/2023-10/EIOPA-BoS-2023-359%20-RFR%20Technical%20Documentation.pdf</w:t>
              </w:r>
            </w:p>
            <w:p w14:paraId="4937E100"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noProof/>
                  <w:sz w:val="22"/>
                  <w:szCs w:val="22"/>
                  <w:lang w:val="en-US"/>
                </w:rPr>
                <w:t xml:space="preserve">EIOPA. (26 de Marzo de 2024). </w:t>
              </w:r>
              <w:r w:rsidRPr="009A5872">
                <w:rPr>
                  <w:rFonts w:ascii="Verdana" w:hAnsi="Verdana"/>
                  <w:i/>
                  <w:iCs/>
                  <w:noProof/>
                  <w:sz w:val="22"/>
                  <w:szCs w:val="22"/>
                  <w:lang w:val="en-US"/>
                </w:rPr>
                <w:t>Report on the calculation of the UFR for 2025.</w:t>
              </w:r>
              <w:r w:rsidRPr="009A5872">
                <w:rPr>
                  <w:rFonts w:ascii="Verdana" w:hAnsi="Verdana"/>
                  <w:noProof/>
                  <w:sz w:val="22"/>
                  <w:szCs w:val="22"/>
                  <w:lang w:val="en-US"/>
                </w:rPr>
                <w:t xml:space="preserve"> </w:t>
              </w:r>
              <w:r w:rsidRPr="009A5872">
                <w:rPr>
                  <w:rFonts w:ascii="Verdana" w:hAnsi="Verdana"/>
                  <w:noProof/>
                  <w:sz w:val="22"/>
                  <w:szCs w:val="22"/>
                </w:rPr>
                <w:t>Obtenido de EIOPA: chrome-extension://efaidnbmnnnibpcajpcglclefindmkaj/https://www.eiopa.europa.eu/document/download/0ab82697-40a6-49ad-930f-211b649c1be9_en?filename=EIOPA-BoS-24-099-Report-on-the-Calculation-of-the-UFR-for-2025.pdf</w:t>
              </w:r>
            </w:p>
            <w:p w14:paraId="7FBF9556"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i/>
                  <w:iCs/>
                  <w:noProof/>
                  <w:sz w:val="22"/>
                  <w:szCs w:val="22"/>
                </w:rPr>
                <w:t>Función Pública</w:t>
              </w:r>
              <w:r w:rsidRPr="009A5872">
                <w:rPr>
                  <w:rFonts w:ascii="Verdana" w:hAnsi="Verdana"/>
                  <w:noProof/>
                  <w:sz w:val="22"/>
                  <w:szCs w:val="22"/>
                </w:rPr>
                <w:t>. (2009). Obtenido de Gestor Normativo: https://www.funcionpublica.gov.co/eva/gestornormativo/norma.php?i=36838</w:t>
              </w:r>
            </w:p>
            <w:p w14:paraId="73D10A5C"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i/>
                  <w:iCs/>
                  <w:noProof/>
                  <w:sz w:val="22"/>
                  <w:szCs w:val="22"/>
                </w:rPr>
                <w:t>Función Pública</w:t>
              </w:r>
              <w:r w:rsidRPr="009A5872">
                <w:rPr>
                  <w:rFonts w:ascii="Verdana" w:hAnsi="Verdana"/>
                  <w:noProof/>
                  <w:sz w:val="22"/>
                  <w:szCs w:val="22"/>
                </w:rPr>
                <w:t>. (2024). Obtenido de Gestor normativo: https://www.funcionpublica.gov.co/eva/gestornormativo/norma.php?i=253296</w:t>
              </w:r>
            </w:p>
            <w:p w14:paraId="35877105" w14:textId="77777777" w:rsidR="009A5872" w:rsidRPr="009A5872" w:rsidRDefault="009A5872" w:rsidP="009A5872">
              <w:pPr>
                <w:pStyle w:val="Bibliografa"/>
                <w:ind w:left="720" w:hanging="720"/>
                <w:rPr>
                  <w:rFonts w:ascii="Verdana" w:hAnsi="Verdana"/>
                  <w:noProof/>
                  <w:sz w:val="22"/>
                  <w:szCs w:val="22"/>
                  <w:lang w:val="en-US"/>
                </w:rPr>
              </w:pPr>
              <w:r w:rsidRPr="009A5872">
                <w:rPr>
                  <w:rFonts w:ascii="Verdana" w:hAnsi="Verdana"/>
                  <w:noProof/>
                  <w:sz w:val="22"/>
                  <w:szCs w:val="22"/>
                </w:rPr>
                <w:t xml:space="preserve">Gonzalez Sanchez, M., &amp; Rodriguez-Sanchez, S. (2021). </w:t>
              </w:r>
              <w:r w:rsidRPr="009A5872">
                <w:rPr>
                  <w:rFonts w:ascii="Verdana" w:hAnsi="Verdana"/>
                  <w:noProof/>
                  <w:sz w:val="22"/>
                  <w:szCs w:val="22"/>
                  <w:lang w:val="en-US"/>
                </w:rPr>
                <w:t xml:space="preserve">Comparative analysis of interest rate term structures in the Solvency II environment. </w:t>
              </w:r>
              <w:r w:rsidRPr="009A5872">
                <w:rPr>
                  <w:rFonts w:ascii="Verdana" w:hAnsi="Verdana"/>
                  <w:i/>
                  <w:iCs/>
                  <w:noProof/>
                  <w:sz w:val="22"/>
                  <w:szCs w:val="22"/>
                  <w:lang w:val="en-US"/>
                </w:rPr>
                <w:t>The Journal of Risk Finance</w:t>
              </w:r>
              <w:r w:rsidRPr="009A5872">
                <w:rPr>
                  <w:rFonts w:ascii="Verdana" w:hAnsi="Verdana"/>
                  <w:noProof/>
                  <w:sz w:val="22"/>
                  <w:szCs w:val="22"/>
                  <w:lang w:val="en-US"/>
                </w:rPr>
                <w:t>, 18.</w:t>
              </w:r>
            </w:p>
            <w:p w14:paraId="2807A190"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noProof/>
                  <w:sz w:val="22"/>
                  <w:szCs w:val="22"/>
                  <w:lang w:val="en-US"/>
                </w:rPr>
                <w:t xml:space="preserve">Grajales-Olarte, A., &amp; Pulido, J. D. (2018). </w:t>
              </w:r>
              <w:r w:rsidRPr="009A5872">
                <w:rPr>
                  <w:rFonts w:ascii="Verdana" w:hAnsi="Verdana"/>
                  <w:noProof/>
                  <w:sz w:val="22"/>
                  <w:szCs w:val="22"/>
                </w:rPr>
                <w:t xml:space="preserve">Nuevas estimaciones de la tasa de interés neutral en Colombia. </w:t>
              </w:r>
              <w:r w:rsidRPr="009A5872">
                <w:rPr>
                  <w:rFonts w:ascii="Verdana" w:hAnsi="Verdana"/>
                  <w:i/>
                  <w:iCs/>
                  <w:noProof/>
                  <w:sz w:val="22"/>
                  <w:szCs w:val="22"/>
                </w:rPr>
                <w:t>Informe sobre inflación</w:t>
              </w:r>
              <w:r w:rsidRPr="009A5872">
                <w:rPr>
                  <w:rFonts w:ascii="Verdana" w:hAnsi="Verdana"/>
                  <w:noProof/>
                  <w:sz w:val="22"/>
                  <w:szCs w:val="22"/>
                </w:rPr>
                <w:t>, 74-77.</w:t>
              </w:r>
            </w:p>
            <w:p w14:paraId="47CDD57F" w14:textId="77777777" w:rsidR="009A5872" w:rsidRPr="009A5872" w:rsidRDefault="009A5872" w:rsidP="009A5872">
              <w:pPr>
                <w:pStyle w:val="Bibliografa"/>
                <w:ind w:left="720" w:hanging="720"/>
                <w:rPr>
                  <w:rFonts w:ascii="Verdana" w:hAnsi="Verdana"/>
                  <w:noProof/>
                  <w:sz w:val="22"/>
                  <w:szCs w:val="22"/>
                </w:rPr>
              </w:pPr>
              <w:r w:rsidRPr="009A5872">
                <w:rPr>
                  <w:rFonts w:ascii="Verdana" w:hAnsi="Verdana"/>
                  <w:noProof/>
                  <w:sz w:val="22"/>
                  <w:szCs w:val="22"/>
                </w:rPr>
                <w:t xml:space="preserve">Santana, J. C. (2008). La curva de rendimientos: Una revisión metodológica y nuevas aproximaciones de estimación. </w:t>
              </w:r>
              <w:r w:rsidRPr="009A5872">
                <w:rPr>
                  <w:rFonts w:ascii="Verdana" w:hAnsi="Verdana"/>
                  <w:i/>
                  <w:iCs/>
                  <w:noProof/>
                  <w:sz w:val="22"/>
                  <w:szCs w:val="22"/>
                </w:rPr>
                <w:t>Cuadernos de economía</w:t>
              </w:r>
              <w:r w:rsidRPr="009A5872">
                <w:rPr>
                  <w:rFonts w:ascii="Verdana" w:hAnsi="Verdana"/>
                  <w:noProof/>
                  <w:sz w:val="22"/>
                  <w:szCs w:val="22"/>
                </w:rPr>
                <w:t>.</w:t>
              </w:r>
            </w:p>
            <w:p w14:paraId="50165E8B" w14:textId="77777777" w:rsidR="005A745D" w:rsidRPr="009A5872" w:rsidRDefault="005A745D" w:rsidP="009A5872">
              <w:pPr>
                <w:keepNext/>
                <w:rPr>
                  <w:rFonts w:ascii="Verdana" w:hAnsi="Verdana"/>
                  <w:sz w:val="22"/>
                  <w:szCs w:val="22"/>
                </w:rPr>
              </w:pPr>
              <w:r w:rsidRPr="009A5872">
                <w:rPr>
                  <w:rFonts w:ascii="Verdana" w:hAnsi="Verdana"/>
                  <w:b/>
                  <w:bCs/>
                  <w:sz w:val="22"/>
                  <w:szCs w:val="22"/>
                </w:rPr>
                <w:fldChar w:fldCharType="end"/>
              </w:r>
            </w:p>
          </w:sdtContent>
        </w:sdt>
      </w:sdtContent>
    </w:sdt>
    <w:p w14:paraId="0535CE92" w14:textId="77777777" w:rsidR="005A745D" w:rsidRPr="009A5872" w:rsidRDefault="005A745D" w:rsidP="005A745D">
      <w:pPr>
        <w:rPr>
          <w:rFonts w:ascii="Verdana" w:hAnsi="Verdana"/>
          <w:b/>
          <w:color w:val="1778BD"/>
          <w:sz w:val="22"/>
          <w:szCs w:val="22"/>
        </w:rPr>
      </w:pPr>
    </w:p>
    <w:p w14:paraId="2BCDB530" w14:textId="77777777" w:rsidR="00B216D4" w:rsidRPr="009A5872" w:rsidRDefault="00B216D4" w:rsidP="00F8640E">
      <w:pPr>
        <w:rPr>
          <w:rFonts w:ascii="Verdana" w:hAnsi="Verdana" w:cs="Arial"/>
          <w:sz w:val="22"/>
          <w:szCs w:val="22"/>
          <w:lang w:val="es-ES_tradnl"/>
        </w:rPr>
      </w:pPr>
    </w:p>
    <w:sectPr w:rsidR="00B216D4" w:rsidRPr="009A5872" w:rsidSect="00757B36">
      <w:headerReference w:type="default" r:id="rId16"/>
      <w:footerReference w:type="default" r:id="rId17"/>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9D628" w14:textId="77777777" w:rsidR="00E63F94" w:rsidRDefault="00E63F94" w:rsidP="00757B36">
      <w:r>
        <w:separator/>
      </w:r>
    </w:p>
  </w:endnote>
  <w:endnote w:type="continuationSeparator" w:id="0">
    <w:p w14:paraId="4355299D" w14:textId="77777777" w:rsidR="00E63F94" w:rsidRDefault="00E63F94" w:rsidP="0075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Nunito Sans">
    <w:altName w:val="Times New Roman"/>
    <w:charset w:val="00"/>
    <w:family w:val="auto"/>
    <w:pitch w:val="variable"/>
    <w:sig w:usb0="A00002FF" w:usb1="5000204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lang w:val="es-ES"/>
      </w:rPr>
      <w:id w:val="-1071572585"/>
      <w:docPartObj>
        <w:docPartGallery w:val="Page Numbers (Bottom of Page)"/>
        <w:docPartUnique/>
      </w:docPartObj>
    </w:sdtPr>
    <w:sdtContent>
      <w:p w14:paraId="324BE145" w14:textId="1F741CA3" w:rsidR="00E45197" w:rsidRPr="00160630" w:rsidRDefault="00E45197">
        <w:pPr>
          <w:pStyle w:val="Piedepgina"/>
          <w:jc w:val="right"/>
          <w:rPr>
            <w:rFonts w:ascii="Verdana" w:hAnsi="Verdana"/>
          </w:rPr>
        </w:pPr>
        <w:r w:rsidRPr="00160630">
          <w:rPr>
            <w:rFonts w:ascii="Verdana" w:hAnsi="Verdana"/>
            <w:noProof/>
            <w:lang w:eastAsia="es-CO"/>
          </w:rPr>
          <mc:AlternateContent>
            <mc:Choice Requires="wps">
              <w:drawing>
                <wp:anchor distT="0" distB="0" distL="114300" distR="114300" simplePos="0" relativeHeight="251659264" behindDoc="0" locked="0" layoutInCell="1" allowOverlap="1" wp14:anchorId="7AE5F12B" wp14:editId="604889B5">
                  <wp:simplePos x="0" y="0"/>
                  <wp:positionH relativeFrom="margin">
                    <wp:posOffset>-410864</wp:posOffset>
                  </wp:positionH>
                  <wp:positionV relativeFrom="paragraph">
                    <wp:posOffset>-243205</wp:posOffset>
                  </wp:positionV>
                  <wp:extent cx="6318914" cy="1229995"/>
                  <wp:effectExtent l="0" t="0" r="0" b="0"/>
                  <wp:wrapNone/>
                  <wp:docPr id="1223101586" name="Cuadro de texto 1"/>
                  <wp:cNvGraphicFramePr/>
                  <a:graphic xmlns:a="http://schemas.openxmlformats.org/drawingml/2006/main">
                    <a:graphicData uri="http://schemas.microsoft.com/office/word/2010/wordprocessingShape">
                      <wps:wsp>
                        <wps:cNvSpPr txBox="1"/>
                        <wps:spPr>
                          <a:xfrm>
                            <a:off x="0" y="0"/>
                            <a:ext cx="6318914" cy="1229995"/>
                          </a:xfrm>
                          <a:prstGeom prst="rect">
                            <a:avLst/>
                          </a:prstGeom>
                          <a:noFill/>
                          <a:ln w="6350">
                            <a:noFill/>
                          </a:ln>
                        </wps:spPr>
                        <wps:txbx>
                          <w:txbxContent>
                            <w:p w14:paraId="79D92C5A" w14:textId="43AD8B98" w:rsidR="00E45197" w:rsidRPr="00256928" w:rsidRDefault="00E45197"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Pr>
                                  <w:rFonts w:ascii="Helvetica" w:hAnsi="Helvetica"/>
                                  <w:sz w:val="20"/>
                                  <w:szCs w:val="20"/>
                                </w:rPr>
                                <w:t>_____________</w:t>
                              </w:r>
                            </w:p>
                            <w:p w14:paraId="36776589" w14:textId="77777777" w:rsidR="00E45197" w:rsidRPr="00160630" w:rsidRDefault="00E45197" w:rsidP="00D34D20">
                              <w:pPr>
                                <w:spacing w:line="276" w:lineRule="auto"/>
                                <w:jc w:val="both"/>
                                <w:rPr>
                                  <w:rFonts w:ascii="Verdana" w:hAnsi="Verdana"/>
                                  <w:sz w:val="4"/>
                                  <w:szCs w:val="4"/>
                                </w:rPr>
                              </w:pPr>
                            </w:p>
                            <w:p w14:paraId="3453229D" w14:textId="7B84F351" w:rsidR="00E45197" w:rsidRPr="002E4C23" w:rsidRDefault="00E45197" w:rsidP="00D34D20">
                              <w:pPr>
                                <w:spacing w:line="276" w:lineRule="auto"/>
                                <w:jc w:val="both"/>
                                <w:rPr>
                                  <w:rFonts w:ascii="Verdana" w:hAnsi="Verdana"/>
                                  <w:sz w:val="18"/>
                                  <w:szCs w:val="18"/>
                                </w:rPr>
                              </w:pPr>
                              <w:r w:rsidRPr="002E4C23">
                                <w:rPr>
                                  <w:rFonts w:ascii="Verdana" w:hAnsi="Verdana"/>
                                  <w:sz w:val="18"/>
                                  <w:szCs w:val="18"/>
                                </w:rPr>
                                <w:t xml:space="preserve">Dirección: </w:t>
                              </w:r>
                              <w:r w:rsidRPr="002E4C23">
                                <w:rPr>
                                  <w:rFonts w:ascii="Verdana" w:hAnsi="Verdana" w:cs="Arial"/>
                                  <w:bCs/>
                                  <w:sz w:val="18"/>
                                  <w:szCs w:val="18"/>
                                  <w:lang w:val="es-MX"/>
                                </w:rPr>
                                <w:t xml:space="preserve">Calle 7 No. 4 - 49  </w:t>
                              </w:r>
                              <w:r w:rsidRPr="002E4C23">
                                <w:rPr>
                                  <w:rFonts w:ascii="Verdana" w:hAnsi="Verdana"/>
                                  <w:sz w:val="18"/>
                                  <w:szCs w:val="18"/>
                                </w:rPr>
                                <w:t>Bogotá D.C., Colombia</w:t>
                              </w:r>
                            </w:p>
                            <w:p w14:paraId="7463B94C" w14:textId="0FC74235" w:rsidR="00E45197" w:rsidRPr="002E4C23" w:rsidRDefault="00E45197" w:rsidP="00D34D20">
                              <w:pPr>
                                <w:spacing w:line="276" w:lineRule="auto"/>
                                <w:jc w:val="both"/>
                                <w:rPr>
                                  <w:rFonts w:ascii="Verdana" w:hAnsi="Verdana"/>
                                  <w:sz w:val="18"/>
                                  <w:szCs w:val="18"/>
                                </w:rPr>
                              </w:pPr>
                              <w:r w:rsidRPr="002E4C23">
                                <w:rPr>
                                  <w:rFonts w:ascii="Verdana" w:hAnsi="Verdana"/>
                                  <w:sz w:val="18"/>
                                  <w:szCs w:val="18"/>
                                </w:rPr>
                                <w:t>Conmutador: (+57) 601 594 0200 - 601 594 0201</w:t>
                              </w:r>
                            </w:p>
                            <w:p w14:paraId="3F743D65" w14:textId="56361C4F" w:rsidR="00E45197" w:rsidRPr="002E4C23" w:rsidRDefault="00E45197" w:rsidP="00F8640E">
                              <w:pPr>
                                <w:spacing w:line="276" w:lineRule="auto"/>
                                <w:jc w:val="both"/>
                                <w:rPr>
                                  <w:rFonts w:ascii="Verdana" w:hAnsi="Verdana"/>
                                  <w:sz w:val="18"/>
                                  <w:szCs w:val="18"/>
                                </w:rPr>
                              </w:pPr>
                              <w:r w:rsidRPr="002E4C23">
                                <w:rPr>
                                  <w:rFonts w:ascii="Verdana" w:hAnsi="Verdana"/>
                                  <w:sz w:val="18"/>
                                  <w:szCs w:val="18"/>
                                </w:rPr>
                                <w:t>www.superfinanciera.gov.co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 o:spid="_x0000_s1026" type="#_x0000_t202" style="position:absolute;left:0;text-align:left;margin-left:-32.35pt;margin-top:-19.15pt;width:497.55pt;height:96.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" filled="f" stroked="f" strokeweight=".5pt">
                  <v:textbox>
                    <w:txbxContent>
                      <w:p w14:paraId="79D92C5A" w14:textId="43AD8B98" w:rsidR="00E45197" w:rsidRPr="00256928" w:rsidRDefault="00E45197"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Pr>
                            <w:rFonts w:ascii="Helvetica" w:hAnsi="Helvetica"/>
                            <w:sz w:val="20"/>
                            <w:szCs w:val="20"/>
                          </w:rPr>
                          <w:t>_____________</w:t>
                        </w:r>
                      </w:p>
                      <w:p w14:paraId="36776589" w14:textId="77777777" w:rsidR="00E45197" w:rsidRPr="00160630" w:rsidRDefault="00E45197" w:rsidP="00D34D20">
                        <w:pPr>
                          <w:spacing w:line="276" w:lineRule="auto"/>
                          <w:jc w:val="both"/>
                          <w:rPr>
                            <w:rFonts w:ascii="Verdana" w:hAnsi="Verdana"/>
                            <w:sz w:val="4"/>
                            <w:szCs w:val="4"/>
                          </w:rPr>
                        </w:pPr>
                      </w:p>
                      <w:p w14:paraId="3453229D" w14:textId="7B84F351" w:rsidR="00E45197" w:rsidRPr="002E4C23" w:rsidRDefault="00E45197" w:rsidP="00D34D20">
                        <w:pPr>
                          <w:spacing w:line="276" w:lineRule="auto"/>
                          <w:jc w:val="both"/>
                          <w:rPr>
                            <w:rFonts w:ascii="Verdana" w:hAnsi="Verdana"/>
                            <w:sz w:val="18"/>
                            <w:szCs w:val="18"/>
                          </w:rPr>
                        </w:pPr>
                        <w:r w:rsidRPr="002E4C23">
                          <w:rPr>
                            <w:rFonts w:ascii="Verdana" w:hAnsi="Verdana"/>
                            <w:sz w:val="18"/>
                            <w:szCs w:val="18"/>
                          </w:rPr>
                          <w:t xml:space="preserve">Dirección: </w:t>
                        </w:r>
                        <w:r w:rsidRPr="002E4C23">
                          <w:rPr>
                            <w:rFonts w:ascii="Verdana" w:hAnsi="Verdana" w:cs="Arial"/>
                            <w:bCs/>
                            <w:sz w:val="18"/>
                            <w:szCs w:val="18"/>
                            <w:lang w:val="es-MX"/>
                          </w:rPr>
                          <w:t xml:space="preserve">Calle 7 No. 4 - 49  </w:t>
                        </w:r>
                        <w:r w:rsidRPr="002E4C23">
                          <w:rPr>
                            <w:rFonts w:ascii="Verdana" w:hAnsi="Verdana"/>
                            <w:sz w:val="18"/>
                            <w:szCs w:val="18"/>
                          </w:rPr>
                          <w:t>Bogotá D.C., Colombia</w:t>
                        </w:r>
                      </w:p>
                      <w:p w14:paraId="7463B94C" w14:textId="0FC74235" w:rsidR="00E45197" w:rsidRPr="002E4C23" w:rsidRDefault="00E45197" w:rsidP="00D34D20">
                        <w:pPr>
                          <w:spacing w:line="276" w:lineRule="auto"/>
                          <w:jc w:val="both"/>
                          <w:rPr>
                            <w:rFonts w:ascii="Verdana" w:hAnsi="Verdana"/>
                            <w:sz w:val="18"/>
                            <w:szCs w:val="18"/>
                          </w:rPr>
                        </w:pPr>
                        <w:r w:rsidRPr="002E4C23">
                          <w:rPr>
                            <w:rFonts w:ascii="Verdana" w:hAnsi="Verdana"/>
                            <w:sz w:val="18"/>
                            <w:szCs w:val="18"/>
                          </w:rPr>
                          <w:t>Conmutador: (+57) 601 594 0200 - 601 594 0201</w:t>
                        </w:r>
                      </w:p>
                      <w:p w14:paraId="3F743D65" w14:textId="56361C4F" w:rsidR="00E45197" w:rsidRPr="002E4C23" w:rsidRDefault="00E45197" w:rsidP="00F8640E">
                        <w:pPr>
                          <w:spacing w:line="276" w:lineRule="auto"/>
                          <w:jc w:val="both"/>
                          <w:rPr>
                            <w:rFonts w:ascii="Verdana" w:hAnsi="Verdana"/>
                            <w:sz w:val="18"/>
                            <w:szCs w:val="18"/>
                          </w:rPr>
                        </w:pPr>
                        <w:r w:rsidRPr="002E4C23">
                          <w:rPr>
                            <w:rFonts w:ascii="Verdana" w:hAnsi="Verdana"/>
                            <w:sz w:val="18"/>
                            <w:szCs w:val="18"/>
                          </w:rPr>
                          <w:t>www.superfinanciera.gov.co</w:t>
                        </w:r>
                      </w:p>
                    </w:txbxContent>
                  </v:textbox>
                  <w10:wrap anchorx="margin"/>
                </v:shape>
              </w:pict>
            </mc:Fallback>
          </mc:AlternateContent>
        </w:r>
        <w:r w:rsidRPr="00160630">
          <w:rPr>
            <w:rFonts w:ascii="Verdana" w:hAnsi="Verdana"/>
            <w:lang w:val="es-ES"/>
          </w:rPr>
          <w:t xml:space="preserve">Página | </w:t>
        </w:r>
        <w:r w:rsidRPr="00160630">
          <w:rPr>
            <w:rFonts w:ascii="Verdana" w:hAnsi="Verdana"/>
          </w:rPr>
          <w:fldChar w:fldCharType="begin"/>
        </w:r>
        <w:r w:rsidRPr="00160630">
          <w:rPr>
            <w:rFonts w:ascii="Verdana" w:hAnsi="Verdana"/>
          </w:rPr>
          <w:instrText>PAGE   \* MERGEFORMAT</w:instrText>
        </w:r>
        <w:r w:rsidRPr="00160630">
          <w:rPr>
            <w:rFonts w:ascii="Verdana" w:hAnsi="Verdana"/>
          </w:rPr>
          <w:fldChar w:fldCharType="separate"/>
        </w:r>
        <w:r w:rsidR="009A5872" w:rsidRPr="009A5872">
          <w:rPr>
            <w:rFonts w:ascii="Verdana" w:hAnsi="Verdana"/>
            <w:noProof/>
            <w:lang w:val="es-ES"/>
          </w:rPr>
          <w:t>17</w:t>
        </w:r>
        <w:r w:rsidRPr="00160630">
          <w:rPr>
            <w:rFonts w:ascii="Verdana" w:hAnsi="Verdana"/>
          </w:rPr>
          <w:fldChar w:fldCharType="end"/>
        </w:r>
        <w:r w:rsidRPr="00160630">
          <w:rPr>
            <w:rFonts w:ascii="Verdana" w:hAnsi="Verdana"/>
            <w:lang w:val="es-ES"/>
          </w:rPr>
          <w:t xml:space="preserve"> </w:t>
        </w:r>
      </w:p>
    </w:sdtContent>
  </w:sdt>
  <w:p w14:paraId="409F4B9A" w14:textId="79830460" w:rsidR="00E45197" w:rsidRPr="00D34D20" w:rsidRDefault="00E45197" w:rsidP="00D34D20">
    <w:pPr>
      <w:spacing w:line="276" w:lineRule="auto"/>
      <w:jc w:val="both"/>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71168" w14:textId="77777777" w:rsidR="00E63F94" w:rsidRDefault="00E63F94" w:rsidP="00757B36">
      <w:r>
        <w:separator/>
      </w:r>
    </w:p>
  </w:footnote>
  <w:footnote w:type="continuationSeparator" w:id="0">
    <w:p w14:paraId="538D2F3C" w14:textId="77777777" w:rsidR="00E63F94" w:rsidRDefault="00E63F94" w:rsidP="00757B36">
      <w:r>
        <w:continuationSeparator/>
      </w:r>
    </w:p>
  </w:footnote>
  <w:footnote w:id="1">
    <w:p w14:paraId="6C8F920F" w14:textId="284BDFD1" w:rsidR="00E45197" w:rsidRPr="002718FB" w:rsidRDefault="00E45197" w:rsidP="000909EB">
      <w:pPr>
        <w:pStyle w:val="Textonotapie"/>
        <w:jc w:val="both"/>
        <w:rPr>
          <w:rFonts w:ascii="Arial" w:hAnsi="Arial" w:cs="Arial"/>
          <w:sz w:val="16"/>
          <w:szCs w:val="16"/>
        </w:rPr>
      </w:pPr>
      <w:r w:rsidRPr="0050574C">
        <w:rPr>
          <w:rStyle w:val="Refdenotaalpie"/>
          <w:rFonts w:ascii="Verdana" w:hAnsi="Verdana" w:cs="Arial"/>
          <w:sz w:val="16"/>
          <w:szCs w:val="16"/>
        </w:rPr>
        <w:footnoteRef/>
      </w:r>
      <w:r w:rsidRPr="0050574C">
        <w:rPr>
          <w:rFonts w:ascii="Verdana" w:hAnsi="Verdana" w:cs="Arial"/>
          <w:sz w:val="16"/>
          <w:szCs w:val="16"/>
        </w:rPr>
        <w:t xml:space="preserve"> </w:t>
      </w:r>
      <w:r w:rsidRPr="000909EB">
        <w:rPr>
          <w:rFonts w:ascii="Verdana" w:hAnsi="Verdana" w:cs="Arial"/>
          <w:sz w:val="16"/>
          <w:szCs w:val="16"/>
        </w:rPr>
        <w:t>Documento elaborado por funcionarios de la Subdirección de Investigación y Análisis de la Superintendencia Financiera de Colombia. M</w:t>
      </w:r>
      <w:r w:rsidR="009D7D22">
        <w:rPr>
          <w:rFonts w:ascii="Verdana" w:hAnsi="Verdana" w:cs="Arial"/>
          <w:sz w:val="16"/>
          <w:szCs w:val="16"/>
        </w:rPr>
        <w:t xml:space="preserve">ayo </w:t>
      </w:r>
      <w:r w:rsidRPr="000909EB">
        <w:rPr>
          <w:rFonts w:ascii="Verdana" w:hAnsi="Verdana" w:cs="Arial"/>
          <w:sz w:val="16"/>
          <w:szCs w:val="16"/>
        </w:rPr>
        <w:t>de 2025.</w:t>
      </w:r>
      <w:r w:rsidRPr="002718FB">
        <w:rPr>
          <w:rFonts w:ascii="Arial" w:hAnsi="Arial" w:cs="Arial"/>
          <w:sz w:val="16"/>
          <w:szCs w:val="16"/>
        </w:rPr>
        <w:t xml:space="preserve"> </w:t>
      </w:r>
    </w:p>
  </w:footnote>
  <w:footnote w:id="2">
    <w:p w14:paraId="5F08DD58" w14:textId="5C20DEFE" w:rsidR="00E45197" w:rsidRPr="00B822FB" w:rsidRDefault="00E45197" w:rsidP="00B822FB">
      <w:pPr>
        <w:pStyle w:val="Textonotapie"/>
        <w:jc w:val="both"/>
      </w:pPr>
      <w:r w:rsidRPr="00B822FB">
        <w:rPr>
          <w:rStyle w:val="Refdenotaalpie"/>
          <w:rFonts w:ascii="Verdana" w:hAnsi="Verdana"/>
          <w:sz w:val="16"/>
          <w:szCs w:val="16"/>
        </w:rPr>
        <w:footnoteRef/>
      </w:r>
      <w:r w:rsidRPr="00B822FB">
        <w:rPr>
          <w:rStyle w:val="Refdenotaalpie"/>
          <w:rFonts w:ascii="Verdana" w:hAnsi="Verdana"/>
          <w:sz w:val="16"/>
          <w:szCs w:val="16"/>
        </w:rPr>
        <w:t xml:space="preserve"> </w:t>
      </w:r>
      <w:r w:rsidRPr="00B822FB">
        <w:rPr>
          <w:rFonts w:ascii="Verdana" w:hAnsi="Verdana"/>
          <w:sz w:val="16"/>
          <w:szCs w:val="16"/>
        </w:rPr>
        <w:t>La adopción de un enfoque coherente con el mercado ayuda a fomentar la transparencia en los mercados de seguros con un impacto positivo en la comprensión y la confianza, además de ayudar a crear igualdad de condiciones al permitir la comparación entre empresas.</w:t>
      </w:r>
    </w:p>
  </w:footnote>
  <w:footnote w:id="3">
    <w:p w14:paraId="5AE33EA3" w14:textId="77777777" w:rsidR="00E45197" w:rsidRPr="00A30028" w:rsidRDefault="00E45197" w:rsidP="005A745D">
      <w:pPr>
        <w:pStyle w:val="Textonotapie"/>
        <w:jc w:val="both"/>
        <w:rPr>
          <w:rFonts w:ascii="Verdana" w:hAnsi="Verdana"/>
        </w:rPr>
      </w:pPr>
      <w:r w:rsidRPr="00A30028">
        <w:rPr>
          <w:rStyle w:val="Refdenotaalpie"/>
          <w:rFonts w:ascii="Verdana" w:hAnsi="Verdana"/>
          <w:sz w:val="16"/>
          <w:szCs w:val="16"/>
        </w:rPr>
        <w:footnoteRef/>
      </w:r>
      <w:r w:rsidRPr="00A30028">
        <w:rPr>
          <w:rFonts w:ascii="Verdana" w:hAnsi="Verdana"/>
          <w:sz w:val="16"/>
          <w:szCs w:val="16"/>
        </w:rPr>
        <w:t xml:space="preserve"> Debido a limitaciones en la calidad y disponibilidad de información para 2019, únicamente se consideraron los dos primeros criterios.</w:t>
      </w:r>
    </w:p>
  </w:footnote>
  <w:footnote w:id="4">
    <w:p w14:paraId="5AE6D059" w14:textId="77777777" w:rsidR="00E45197" w:rsidRPr="00A30028" w:rsidRDefault="00E45197" w:rsidP="005A745D">
      <w:pPr>
        <w:pStyle w:val="Textonotapie"/>
        <w:jc w:val="both"/>
        <w:rPr>
          <w:rFonts w:ascii="Verdana" w:hAnsi="Verdana"/>
        </w:rPr>
      </w:pPr>
      <w:r w:rsidRPr="00A30028">
        <w:rPr>
          <w:rStyle w:val="Refdenotaalpie"/>
          <w:rFonts w:ascii="Verdana" w:hAnsi="Verdana"/>
          <w:sz w:val="16"/>
          <w:szCs w:val="16"/>
        </w:rPr>
        <w:footnoteRef/>
      </w:r>
      <w:r w:rsidRPr="00A30028">
        <w:rPr>
          <w:rFonts w:ascii="Verdana" w:hAnsi="Verdana"/>
          <w:sz w:val="16"/>
          <w:szCs w:val="16"/>
        </w:rPr>
        <w:t xml:space="preserve"> Aunque la profundidad implica la concentración en algunos plazos al vencimiento de la curva, es fundamental que dichos puntos correspondan a plazos largos.</w:t>
      </w:r>
    </w:p>
  </w:footnote>
  <w:footnote w:id="5">
    <w:p w14:paraId="63D3DE11" w14:textId="77777777" w:rsidR="00E45197" w:rsidRPr="00B63F26" w:rsidRDefault="00E45197" w:rsidP="005A745D">
      <w:pPr>
        <w:pStyle w:val="Textonotapie"/>
        <w:rPr>
          <w:rFonts w:ascii="Nunito Sans" w:hAnsi="Nunito Sans"/>
        </w:rPr>
      </w:pPr>
      <w:r w:rsidRPr="00A30028">
        <w:rPr>
          <w:rStyle w:val="Refdenotaalpie"/>
          <w:rFonts w:ascii="Verdana" w:hAnsi="Verdana"/>
          <w:sz w:val="16"/>
          <w:szCs w:val="16"/>
        </w:rPr>
        <w:footnoteRef/>
      </w:r>
      <w:r w:rsidRPr="00A30028">
        <w:rPr>
          <w:rFonts w:ascii="Verdana" w:hAnsi="Verdana"/>
          <w:sz w:val="16"/>
          <w:szCs w:val="16"/>
        </w:rPr>
        <w:t xml:space="preserve"> Representados con cero (0) en la tabla 3.</w:t>
      </w:r>
      <w:r w:rsidRPr="00B63F26">
        <w:rPr>
          <w:rFonts w:ascii="Nunito Sans" w:hAnsi="Nunito Sans"/>
          <w:sz w:val="16"/>
          <w:szCs w:val="16"/>
        </w:rPr>
        <w:t xml:space="preserve"> </w:t>
      </w:r>
    </w:p>
  </w:footnote>
  <w:footnote w:id="6">
    <w:p w14:paraId="51FB160E" w14:textId="3C02F2D2" w:rsidR="00E45197" w:rsidRPr="00A30028" w:rsidRDefault="00E45197" w:rsidP="005A745D">
      <w:pPr>
        <w:pStyle w:val="Textonotapie"/>
        <w:rPr>
          <w:rFonts w:ascii="Verdana" w:hAnsi="Verdana"/>
        </w:rPr>
      </w:pPr>
      <w:r w:rsidRPr="00CF42F5">
        <w:rPr>
          <w:rStyle w:val="Refdenotaalpie"/>
          <w:rFonts w:ascii="Verdana" w:hAnsi="Verdana"/>
          <w:sz w:val="16"/>
          <w:szCs w:val="16"/>
        </w:rPr>
        <w:footnoteRef/>
      </w:r>
      <w:r w:rsidRPr="00A30028">
        <w:rPr>
          <w:rFonts w:ascii="Verdana" w:hAnsi="Verdana"/>
          <w:sz w:val="16"/>
          <w:szCs w:val="16"/>
        </w:rPr>
        <w:t>Este parámetro es variable y es estimado mediante un proceso de optimización.</w:t>
      </w:r>
    </w:p>
  </w:footnote>
  <w:footnote w:id="7">
    <w:p w14:paraId="2889F5CC" w14:textId="77777777" w:rsidR="00E45197" w:rsidRPr="00CE0DED" w:rsidRDefault="00E45197" w:rsidP="005A745D">
      <w:pPr>
        <w:pStyle w:val="Textonotapie"/>
        <w:jc w:val="both"/>
        <w:rPr>
          <w:sz w:val="16"/>
          <w:szCs w:val="16"/>
        </w:rPr>
      </w:pPr>
      <w:r w:rsidRPr="00A30028">
        <w:rPr>
          <w:rStyle w:val="Refdenotaalpie"/>
          <w:rFonts w:ascii="Verdana" w:hAnsi="Verdana"/>
          <w:sz w:val="16"/>
          <w:szCs w:val="16"/>
        </w:rPr>
        <w:footnoteRef/>
      </w:r>
      <w:r w:rsidRPr="00A30028">
        <w:rPr>
          <w:rFonts w:ascii="Verdana" w:hAnsi="Verdana"/>
          <w:sz w:val="16"/>
          <w:szCs w:val="16"/>
          <w:lang w:val="es-CO"/>
        </w:rPr>
        <w:t>Para mayor detalle, se pueden consultar las variaciones sobre las ponderaciones y modificaciones de la matriz de Wilson en la documentación técnica correspondiente de EIOPA publicada en 2021.</w:t>
      </w:r>
    </w:p>
  </w:footnote>
  <w:footnote w:id="8">
    <w:p w14:paraId="4FA75D5D" w14:textId="77777777" w:rsidR="00E45197" w:rsidRPr="00CF42F5" w:rsidRDefault="00E45197" w:rsidP="005A745D">
      <w:pPr>
        <w:pStyle w:val="Textonotapie"/>
        <w:jc w:val="both"/>
        <w:rPr>
          <w:rFonts w:ascii="Verdana" w:hAnsi="Verdana"/>
        </w:rPr>
      </w:pPr>
      <w:r w:rsidRPr="00CF42F5">
        <w:rPr>
          <w:rStyle w:val="Refdenotaalpie"/>
          <w:rFonts w:ascii="Verdana" w:hAnsi="Verdana"/>
          <w:sz w:val="16"/>
          <w:szCs w:val="16"/>
        </w:rPr>
        <w:footnoteRef/>
      </w:r>
      <w:r w:rsidRPr="00CF42F5">
        <w:rPr>
          <w:rFonts w:ascii="Verdana" w:hAnsi="Verdana"/>
          <w:sz w:val="16"/>
          <w:szCs w:val="16"/>
        </w:rPr>
        <w:t xml:space="preserve"> </w:t>
      </w:r>
      <w:r w:rsidRPr="00CF42F5">
        <w:rPr>
          <w:rFonts w:ascii="Verdana" w:hAnsi="Verdana"/>
          <w:sz w:val="16"/>
          <w:szCs w:val="16"/>
          <w:lang w:val="es-CO"/>
        </w:rPr>
        <w:t>Utiliza la curva cero cupón en moneda local y en UVR a partir de la información suministrada por los proveedores de precios Precia y PIP.</w:t>
      </w:r>
    </w:p>
  </w:footnote>
  <w:footnote w:id="9">
    <w:p w14:paraId="62B592D9" w14:textId="77777777" w:rsidR="00E45197" w:rsidRPr="00365F14" w:rsidRDefault="00E45197" w:rsidP="005A745D">
      <w:pPr>
        <w:pStyle w:val="Textonotapie"/>
        <w:jc w:val="both"/>
        <w:rPr>
          <w:rFonts w:ascii="Verdana" w:hAnsi="Verdana"/>
          <w:lang w:val="es-CO"/>
        </w:rPr>
      </w:pPr>
      <w:r w:rsidRPr="00365F14">
        <w:rPr>
          <w:rStyle w:val="Refdenotaalpie"/>
          <w:rFonts w:ascii="Verdana" w:hAnsi="Verdana"/>
          <w:sz w:val="16"/>
        </w:rPr>
        <w:footnoteRef/>
      </w:r>
      <w:r w:rsidRPr="00365F14">
        <w:rPr>
          <w:rFonts w:ascii="Verdana" w:hAnsi="Verdana"/>
          <w:sz w:val="16"/>
        </w:rPr>
        <w:t xml:space="preserve"> </w:t>
      </w:r>
      <w:r w:rsidRPr="00365F14">
        <w:rPr>
          <w:rFonts w:ascii="Verdana" w:hAnsi="Verdana"/>
          <w:sz w:val="16"/>
          <w:szCs w:val="16"/>
          <w:lang w:val="es-CO"/>
        </w:rPr>
        <w:t>Esta tasa es la misma para todas las monedas para las que EIOPA calcula la UFR, ya que se determina a partir de un promedio simple de la tasa de cada moneda evaluada. Para más información véase el reporte de la UFR para 2025 citado anteriormente.</w:t>
      </w:r>
      <w:r w:rsidRPr="00365F14">
        <w:rPr>
          <w:rFonts w:ascii="Verdana" w:hAnsi="Verdana"/>
          <w:lang w:val="es-CO"/>
        </w:rPr>
        <w:t xml:space="preserve">  </w:t>
      </w:r>
    </w:p>
  </w:footnote>
  <w:footnote w:id="10">
    <w:p w14:paraId="6ACF7568" w14:textId="77777777" w:rsidR="00E45197" w:rsidRPr="009E1C83" w:rsidRDefault="00E45197" w:rsidP="005A745D">
      <w:pPr>
        <w:pStyle w:val="Textonotapie"/>
        <w:jc w:val="both"/>
        <w:rPr>
          <w:lang w:val="es-CO"/>
        </w:rPr>
      </w:pPr>
      <w:r w:rsidRPr="00365F14">
        <w:rPr>
          <w:rStyle w:val="Refdenotaalpie"/>
          <w:rFonts w:ascii="Verdana" w:hAnsi="Verdana"/>
          <w:sz w:val="16"/>
        </w:rPr>
        <w:footnoteRef/>
      </w:r>
      <w:r w:rsidRPr="00365F14">
        <w:rPr>
          <w:rFonts w:ascii="Verdana" w:hAnsi="Verdana"/>
          <w:sz w:val="16"/>
        </w:rPr>
        <w:t xml:space="preserve"> </w:t>
      </w:r>
      <w:r w:rsidRPr="00365F14">
        <w:rPr>
          <w:rFonts w:ascii="Verdana" w:hAnsi="Verdana"/>
          <w:sz w:val="16"/>
          <w:szCs w:val="16"/>
          <w:lang w:val="es-CO"/>
        </w:rPr>
        <w:t>Este dato EIOPA lo toma de la inflación objetivo del Banco de la República de Colombia.</w:t>
      </w:r>
    </w:p>
  </w:footnote>
  <w:footnote w:id="11">
    <w:p w14:paraId="6B09FB66" w14:textId="107EC5B1" w:rsidR="00E45197" w:rsidRPr="00E45197" w:rsidRDefault="00E45197" w:rsidP="00AE6CEF">
      <w:pPr>
        <w:pStyle w:val="Textonotapie"/>
        <w:jc w:val="both"/>
      </w:pPr>
      <w:r>
        <w:rPr>
          <w:rStyle w:val="Refdenotaalpie"/>
        </w:rPr>
        <w:footnoteRef/>
      </w:r>
      <w:r>
        <w:t xml:space="preserve"> </w:t>
      </w:r>
      <w:r>
        <w:rPr>
          <w:rFonts w:ascii="Verdana" w:hAnsi="Verdana"/>
          <w:sz w:val="16"/>
          <w:szCs w:val="16"/>
          <w:lang w:val="es-CO"/>
        </w:rPr>
        <w:t>E</w:t>
      </w:r>
      <w:r w:rsidRPr="00E45197">
        <w:rPr>
          <w:rFonts w:ascii="Verdana" w:hAnsi="Verdana"/>
          <w:sz w:val="16"/>
          <w:szCs w:val="16"/>
          <w:lang w:val="es-CO"/>
        </w:rPr>
        <w:t>sta tasa se define como aquella tasa que no genera presiones sobre la brecha del producto ni sobre la inflación.</w:t>
      </w:r>
    </w:p>
  </w:footnote>
  <w:footnote w:id="12">
    <w:p w14:paraId="256A0B92" w14:textId="75DFC19F" w:rsidR="00AE6CEF" w:rsidRPr="00AE6CEF" w:rsidRDefault="00AE6CEF" w:rsidP="00AE6CEF">
      <w:pPr>
        <w:jc w:val="both"/>
        <w:rPr>
          <w:rFonts w:ascii="Verdana" w:eastAsia="Calibri" w:hAnsi="Verdana"/>
          <w:sz w:val="16"/>
          <w:szCs w:val="16"/>
          <w:lang w:val="es-CO" w:eastAsia="en-US"/>
        </w:rPr>
      </w:pPr>
      <w:r w:rsidRPr="00AE6CEF">
        <w:rPr>
          <w:rStyle w:val="Refdenotaalpie"/>
          <w:rFonts w:ascii="Calibri" w:hAnsi="Calibri"/>
          <w:sz w:val="20"/>
          <w:szCs w:val="20"/>
          <w:lang w:eastAsia="en-US"/>
        </w:rPr>
        <w:footnoteRef/>
      </w:r>
      <w:r w:rsidRPr="00AE6CEF">
        <w:rPr>
          <w:rFonts w:ascii="Verdana" w:eastAsia="Calibri" w:hAnsi="Verdana"/>
          <w:sz w:val="16"/>
          <w:szCs w:val="16"/>
          <w:lang w:val="es-CO" w:eastAsia="en-US"/>
        </w:rPr>
        <w:t xml:space="preserve"> </w:t>
      </w:r>
      <w:r>
        <w:rPr>
          <w:rFonts w:ascii="Verdana" w:eastAsia="Calibri" w:hAnsi="Verdana"/>
          <w:sz w:val="16"/>
          <w:szCs w:val="16"/>
          <w:lang w:val="es-CO" w:eastAsia="en-US"/>
        </w:rPr>
        <w:t>Según el I</w:t>
      </w:r>
      <w:r w:rsidRPr="00AE6CEF">
        <w:rPr>
          <w:rFonts w:ascii="Verdana" w:eastAsia="Calibri" w:hAnsi="Verdana"/>
          <w:sz w:val="16"/>
          <w:szCs w:val="16"/>
          <w:lang w:val="es-CO" w:eastAsia="en-US"/>
        </w:rPr>
        <w:t xml:space="preserve">nforme </w:t>
      </w:r>
      <w:r>
        <w:rPr>
          <w:rFonts w:ascii="Verdana" w:eastAsia="Calibri" w:hAnsi="Verdana"/>
          <w:sz w:val="16"/>
          <w:szCs w:val="16"/>
          <w:lang w:val="es-CO" w:eastAsia="en-US"/>
        </w:rPr>
        <w:t xml:space="preserve">de Política Monetaria del Banco de la República </w:t>
      </w:r>
      <w:r w:rsidRPr="00AE6CEF">
        <w:rPr>
          <w:rFonts w:ascii="Verdana" w:eastAsia="Calibri" w:hAnsi="Verdana"/>
          <w:sz w:val="16"/>
          <w:szCs w:val="16"/>
          <w:lang w:val="es-CO" w:eastAsia="en-US"/>
        </w:rPr>
        <w:t xml:space="preserve">de abril de 2025. </w:t>
      </w:r>
    </w:p>
    <w:p w14:paraId="05D2EB3A" w14:textId="3FB8ADEF" w:rsidR="00AE6CEF" w:rsidRPr="00AE6CEF" w:rsidRDefault="00AE6CEF">
      <w:pPr>
        <w:pStyle w:val="Textonotapie"/>
      </w:pPr>
    </w:p>
  </w:footnote>
  <w:footnote w:id="13">
    <w:p w14:paraId="020B0956" w14:textId="009B7977" w:rsidR="00E45197" w:rsidRPr="00D57DC1" w:rsidRDefault="00E45197" w:rsidP="00337F3A">
      <w:pPr>
        <w:pStyle w:val="Textonotapie"/>
        <w:jc w:val="both"/>
        <w:rPr>
          <w:lang w:val="es-CO"/>
        </w:rPr>
      </w:pPr>
      <w:r w:rsidRPr="00CF42F5">
        <w:rPr>
          <w:rStyle w:val="Refdenotaalpie"/>
          <w:rFonts w:ascii="Verdana" w:hAnsi="Verdana"/>
          <w:sz w:val="16"/>
        </w:rPr>
        <w:footnoteRef/>
      </w:r>
      <w:r w:rsidRPr="00CF42F5">
        <w:rPr>
          <w:rFonts w:ascii="Verdana" w:hAnsi="Verdana"/>
        </w:rPr>
        <w:t xml:space="preserve"> </w:t>
      </w:r>
      <w:r w:rsidRPr="00CF42F5">
        <w:rPr>
          <w:rFonts w:ascii="Verdana" w:hAnsi="Verdana"/>
          <w:sz w:val="16"/>
          <w:szCs w:val="16"/>
          <w:lang w:val="es-CO"/>
        </w:rPr>
        <w:t>Los valores corresponden a los más recientemente observados</w:t>
      </w:r>
      <w:r w:rsidR="00D40395">
        <w:rPr>
          <w:rFonts w:ascii="Verdana" w:hAnsi="Verdana"/>
          <w:sz w:val="16"/>
          <w:szCs w:val="16"/>
          <w:lang w:val="es-CO"/>
        </w:rPr>
        <w:t xml:space="preserve"> para el año en vigencia, los cuales son</w:t>
      </w:r>
      <w:r w:rsidRPr="00CF42F5">
        <w:rPr>
          <w:rFonts w:ascii="Verdana" w:hAnsi="Verdana"/>
          <w:sz w:val="16"/>
          <w:szCs w:val="16"/>
          <w:lang w:val="es-CO"/>
        </w:rPr>
        <w:t xml:space="preserve"> dinámicos y deberán actualizarse </w:t>
      </w:r>
      <w:r w:rsidR="00D40395">
        <w:rPr>
          <w:rFonts w:ascii="Verdana" w:hAnsi="Verdana"/>
          <w:sz w:val="16"/>
          <w:szCs w:val="16"/>
          <w:lang w:val="es-CO"/>
        </w:rPr>
        <w:t xml:space="preserve">anualmente </w:t>
      </w:r>
      <w:r w:rsidRPr="00CF42F5">
        <w:rPr>
          <w:rFonts w:ascii="Verdana" w:hAnsi="Verdana"/>
          <w:sz w:val="16"/>
          <w:szCs w:val="16"/>
          <w:lang w:val="es-CO"/>
        </w:rPr>
        <w:t xml:space="preserve">en la medida que se divulguen los niveles </w:t>
      </w:r>
      <w:r w:rsidR="008846F0">
        <w:rPr>
          <w:rFonts w:ascii="Verdana" w:hAnsi="Verdana"/>
          <w:sz w:val="16"/>
          <w:szCs w:val="16"/>
          <w:lang w:val="es-CO"/>
        </w:rPr>
        <w:t>de la tasa de interés real neutral</w:t>
      </w:r>
      <w:r w:rsidRPr="00CF42F5">
        <w:rPr>
          <w:rFonts w:ascii="Verdana" w:hAnsi="Verdana"/>
          <w:sz w:val="16"/>
          <w:szCs w:val="16"/>
          <w:lang w:val="es-C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CE25" w14:textId="38E67588" w:rsidR="00E45197" w:rsidRDefault="00E45197" w:rsidP="00B83200">
    <w:pPr>
      <w:pStyle w:val="Encabezado"/>
      <w:jc w:val="center"/>
    </w:pPr>
    <w:r>
      <w:rPr>
        <w:noProof/>
        <w:lang w:eastAsia="es-CO"/>
      </w:rPr>
      <w:drawing>
        <wp:inline distT="0" distB="0" distL="0" distR="0" wp14:anchorId="7C37C3F6" wp14:editId="37920E50">
          <wp:extent cx="1998404" cy="876300"/>
          <wp:effectExtent l="0" t="0" r="1905" b="0"/>
          <wp:docPr id="29210434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04347" name="Imagen 2"/>
                  <pic:cNvPicPr/>
                </pic:nvPicPr>
                <pic:blipFill>
                  <a:blip r:embed="rId1">
                    <a:extLst>
                      <a:ext uri="{28A0092B-C50C-407E-A947-70E740481C1C}">
                        <a14:useLocalDpi xmlns:a14="http://schemas.microsoft.com/office/drawing/2010/main" val="0"/>
                      </a:ext>
                    </a:extLst>
                  </a:blip>
                  <a:stretch>
                    <a:fillRect/>
                  </a:stretch>
                </pic:blipFill>
                <pic:spPr>
                  <a:xfrm>
                    <a:off x="0" y="0"/>
                    <a:ext cx="2002614" cy="878146"/>
                  </a:xfrm>
                  <a:prstGeom prst="rect">
                    <a:avLst/>
                  </a:prstGeom>
                </pic:spPr>
              </pic:pic>
            </a:graphicData>
          </a:graphic>
        </wp:inline>
      </w:drawing>
    </w:r>
  </w:p>
  <w:p w14:paraId="60D9EC8F" w14:textId="77777777" w:rsidR="00E45197" w:rsidRDefault="00E45197" w:rsidP="00B83200">
    <w:pPr>
      <w:pStyle w:val="Encabezado"/>
      <w:jc w:val="center"/>
    </w:pPr>
  </w:p>
  <w:p w14:paraId="131704AC" w14:textId="77777777" w:rsidR="00E45197" w:rsidRDefault="00E45197" w:rsidP="00B83200">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F67D0"/>
    <w:multiLevelType w:val="hybridMultilevel"/>
    <w:tmpl w:val="04C2D48E"/>
    <w:lvl w:ilvl="0" w:tplc="07EAEFEC">
      <w:start w:val="1"/>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1153AE5"/>
    <w:multiLevelType w:val="hybridMultilevel"/>
    <w:tmpl w:val="4DECCB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17E6D9A"/>
    <w:multiLevelType w:val="hybridMultilevel"/>
    <w:tmpl w:val="FF1430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384A17"/>
    <w:multiLevelType w:val="multilevel"/>
    <w:tmpl w:val="3C9E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9F46C1"/>
    <w:multiLevelType w:val="multilevel"/>
    <w:tmpl w:val="54441B0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61E207D"/>
    <w:multiLevelType w:val="hybridMultilevel"/>
    <w:tmpl w:val="3416BB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8B64624"/>
    <w:multiLevelType w:val="hybridMultilevel"/>
    <w:tmpl w:val="2A7E74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D661A0E"/>
    <w:multiLevelType w:val="hybridMultilevel"/>
    <w:tmpl w:val="A3D0EE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BB27A6"/>
    <w:multiLevelType w:val="hybridMultilevel"/>
    <w:tmpl w:val="8DD4722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51A1ACE"/>
    <w:multiLevelType w:val="hybridMultilevel"/>
    <w:tmpl w:val="F7E0F4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0044633"/>
    <w:multiLevelType w:val="hybridMultilevel"/>
    <w:tmpl w:val="D02813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7F43CE0"/>
    <w:multiLevelType w:val="hybridMultilevel"/>
    <w:tmpl w:val="9CFABE8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E77093"/>
    <w:multiLevelType w:val="hybridMultilevel"/>
    <w:tmpl w:val="299242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80F20DA"/>
    <w:multiLevelType w:val="multilevel"/>
    <w:tmpl w:val="54441B0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9CC3E43"/>
    <w:multiLevelType w:val="hybridMultilevel"/>
    <w:tmpl w:val="C14287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A4D722A"/>
    <w:multiLevelType w:val="hybridMultilevel"/>
    <w:tmpl w:val="1F428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DFB048D"/>
    <w:multiLevelType w:val="hybridMultilevel"/>
    <w:tmpl w:val="6DD0240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74233CAC"/>
    <w:multiLevelType w:val="hybridMultilevel"/>
    <w:tmpl w:val="B464D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A240B24"/>
    <w:multiLevelType w:val="multilevel"/>
    <w:tmpl w:val="FA1CC1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4127FB"/>
    <w:multiLevelType w:val="hybridMultilevel"/>
    <w:tmpl w:val="FD52B9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37483614">
    <w:abstractNumId w:val="3"/>
  </w:num>
  <w:num w:numId="2" w16cid:durableId="1449471421">
    <w:abstractNumId w:val="19"/>
  </w:num>
  <w:num w:numId="3" w16cid:durableId="930158346">
    <w:abstractNumId w:val="5"/>
  </w:num>
  <w:num w:numId="4" w16cid:durableId="2013606377">
    <w:abstractNumId w:val="15"/>
  </w:num>
  <w:num w:numId="5" w16cid:durableId="1119109584">
    <w:abstractNumId w:val="7"/>
  </w:num>
  <w:num w:numId="6" w16cid:durableId="778061645">
    <w:abstractNumId w:val="13"/>
  </w:num>
  <w:num w:numId="7" w16cid:durableId="225266384">
    <w:abstractNumId w:val="20"/>
  </w:num>
  <w:num w:numId="8" w16cid:durableId="285627793">
    <w:abstractNumId w:val="10"/>
  </w:num>
  <w:num w:numId="9" w16cid:durableId="1409577203">
    <w:abstractNumId w:val="8"/>
  </w:num>
  <w:num w:numId="10" w16cid:durableId="285739724">
    <w:abstractNumId w:val="1"/>
  </w:num>
  <w:num w:numId="11" w16cid:durableId="2038463646">
    <w:abstractNumId w:val="18"/>
  </w:num>
  <w:num w:numId="12" w16cid:durableId="1066877799">
    <w:abstractNumId w:val="9"/>
  </w:num>
  <w:num w:numId="13" w16cid:durableId="302006513">
    <w:abstractNumId w:val="12"/>
  </w:num>
  <w:num w:numId="14" w16cid:durableId="919683053">
    <w:abstractNumId w:val="2"/>
  </w:num>
  <w:num w:numId="15" w16cid:durableId="1836608696">
    <w:abstractNumId w:val="0"/>
  </w:num>
  <w:num w:numId="16" w16cid:durableId="1544096793">
    <w:abstractNumId w:val="11"/>
  </w:num>
  <w:num w:numId="17" w16cid:durableId="351957802">
    <w:abstractNumId w:val="17"/>
  </w:num>
  <w:num w:numId="18" w16cid:durableId="2141804122">
    <w:abstractNumId w:val="4"/>
  </w:num>
  <w:num w:numId="19" w16cid:durableId="1194150022">
    <w:abstractNumId w:val="6"/>
  </w:num>
  <w:num w:numId="20" w16cid:durableId="1417480202">
    <w:abstractNumId w:val="16"/>
  </w:num>
  <w:num w:numId="21" w16cid:durableId="9809580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160BA"/>
    <w:rsid w:val="00035D6F"/>
    <w:rsid w:val="000656A8"/>
    <w:rsid w:val="0007262B"/>
    <w:rsid w:val="000909EB"/>
    <w:rsid w:val="000D5F70"/>
    <w:rsid w:val="000F2775"/>
    <w:rsid w:val="000F3979"/>
    <w:rsid w:val="00160630"/>
    <w:rsid w:val="00195C2B"/>
    <w:rsid w:val="00196C04"/>
    <w:rsid w:val="001D2311"/>
    <w:rsid w:val="001E63A5"/>
    <w:rsid w:val="00204142"/>
    <w:rsid w:val="00211F1F"/>
    <w:rsid w:val="0025541A"/>
    <w:rsid w:val="00255542"/>
    <w:rsid w:val="00256928"/>
    <w:rsid w:val="00284759"/>
    <w:rsid w:val="00290BE0"/>
    <w:rsid w:val="002A444E"/>
    <w:rsid w:val="002A590F"/>
    <w:rsid w:val="002D4271"/>
    <w:rsid w:val="002E4C23"/>
    <w:rsid w:val="0030489C"/>
    <w:rsid w:val="00330863"/>
    <w:rsid w:val="00337F3A"/>
    <w:rsid w:val="0035707D"/>
    <w:rsid w:val="00365F14"/>
    <w:rsid w:val="003723ED"/>
    <w:rsid w:val="003754E8"/>
    <w:rsid w:val="0039087D"/>
    <w:rsid w:val="003A2459"/>
    <w:rsid w:val="003B53AA"/>
    <w:rsid w:val="003C2485"/>
    <w:rsid w:val="003F4840"/>
    <w:rsid w:val="00434625"/>
    <w:rsid w:val="00436E05"/>
    <w:rsid w:val="00472828"/>
    <w:rsid w:val="00487CEE"/>
    <w:rsid w:val="004B135A"/>
    <w:rsid w:val="004D5177"/>
    <w:rsid w:val="0050574C"/>
    <w:rsid w:val="005948D8"/>
    <w:rsid w:val="005A745D"/>
    <w:rsid w:val="005B0011"/>
    <w:rsid w:val="00617535"/>
    <w:rsid w:val="00646468"/>
    <w:rsid w:val="00647DA8"/>
    <w:rsid w:val="006563B3"/>
    <w:rsid w:val="006A2F61"/>
    <w:rsid w:val="006C4207"/>
    <w:rsid w:val="007027C1"/>
    <w:rsid w:val="007325A7"/>
    <w:rsid w:val="00755DD9"/>
    <w:rsid w:val="00757B36"/>
    <w:rsid w:val="007A572E"/>
    <w:rsid w:val="007C1CC4"/>
    <w:rsid w:val="007F1B73"/>
    <w:rsid w:val="008226CA"/>
    <w:rsid w:val="00836E1A"/>
    <w:rsid w:val="00837AA5"/>
    <w:rsid w:val="00851230"/>
    <w:rsid w:val="0088164D"/>
    <w:rsid w:val="00881714"/>
    <w:rsid w:val="008846F0"/>
    <w:rsid w:val="008F0D79"/>
    <w:rsid w:val="008F3FC9"/>
    <w:rsid w:val="00955808"/>
    <w:rsid w:val="00955817"/>
    <w:rsid w:val="00963D53"/>
    <w:rsid w:val="00973EB5"/>
    <w:rsid w:val="00976089"/>
    <w:rsid w:val="00991B18"/>
    <w:rsid w:val="009A5872"/>
    <w:rsid w:val="009D6F33"/>
    <w:rsid w:val="009D7D22"/>
    <w:rsid w:val="00A10EB3"/>
    <w:rsid w:val="00A30028"/>
    <w:rsid w:val="00A7173B"/>
    <w:rsid w:val="00A833C8"/>
    <w:rsid w:val="00A84356"/>
    <w:rsid w:val="00AA1089"/>
    <w:rsid w:val="00AD0F38"/>
    <w:rsid w:val="00AE6CEF"/>
    <w:rsid w:val="00B216D4"/>
    <w:rsid w:val="00B620A9"/>
    <w:rsid w:val="00B748B6"/>
    <w:rsid w:val="00B822FB"/>
    <w:rsid w:val="00B83200"/>
    <w:rsid w:val="00B97735"/>
    <w:rsid w:val="00B97B96"/>
    <w:rsid w:val="00BA45BF"/>
    <w:rsid w:val="00BB3AAA"/>
    <w:rsid w:val="00C10514"/>
    <w:rsid w:val="00C672D3"/>
    <w:rsid w:val="00C85678"/>
    <w:rsid w:val="00C860EC"/>
    <w:rsid w:val="00C948DC"/>
    <w:rsid w:val="00CB40AC"/>
    <w:rsid w:val="00CD525A"/>
    <w:rsid w:val="00CF42F5"/>
    <w:rsid w:val="00D34D20"/>
    <w:rsid w:val="00D40395"/>
    <w:rsid w:val="00D40E0B"/>
    <w:rsid w:val="00D47D82"/>
    <w:rsid w:val="00D56C46"/>
    <w:rsid w:val="00D860B8"/>
    <w:rsid w:val="00DB687B"/>
    <w:rsid w:val="00DE1BE9"/>
    <w:rsid w:val="00DF1FF5"/>
    <w:rsid w:val="00E30F12"/>
    <w:rsid w:val="00E4512E"/>
    <w:rsid w:val="00E45197"/>
    <w:rsid w:val="00E63F94"/>
    <w:rsid w:val="00E879A0"/>
    <w:rsid w:val="00F05DA7"/>
    <w:rsid w:val="00F661EE"/>
    <w:rsid w:val="00F82EE9"/>
    <w:rsid w:val="00F8640E"/>
    <w:rsid w:val="00FD0E6B"/>
    <w:rsid w:val="00FE5B85"/>
    <w:rsid w:val="3FC2D4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40E"/>
    <w:pPr>
      <w:spacing w:after="0" w:line="240" w:lineRule="auto"/>
    </w:pPr>
    <w:rPr>
      <w:rFonts w:ascii="Times New Roman" w:eastAsia="MS Mincho"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CD525A"/>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5A745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5A745D"/>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5A745D"/>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val="es-CO" w:eastAsia="en-US"/>
      <w14:ligatures w14:val="standardContextual"/>
    </w:rPr>
  </w:style>
  <w:style w:type="paragraph" w:styleId="Ttulo5">
    <w:name w:val="heading 5"/>
    <w:basedOn w:val="Normal"/>
    <w:next w:val="Normal"/>
    <w:link w:val="Ttulo5Car"/>
    <w:uiPriority w:val="9"/>
    <w:semiHidden/>
    <w:unhideWhenUsed/>
    <w:qFormat/>
    <w:rsid w:val="005A745D"/>
    <w:pPr>
      <w:keepNext/>
      <w:keepLines/>
      <w:spacing w:before="80" w:after="40" w:line="278" w:lineRule="auto"/>
      <w:outlineLvl w:val="4"/>
    </w:pPr>
    <w:rPr>
      <w:rFonts w:asciiTheme="minorHAnsi" w:eastAsiaTheme="majorEastAsia" w:hAnsiTheme="minorHAnsi" w:cstheme="majorBidi"/>
      <w:color w:val="2F5496" w:themeColor="accent1" w:themeShade="BF"/>
      <w:kern w:val="2"/>
      <w:lang w:val="es-CO" w:eastAsia="en-US"/>
      <w14:ligatures w14:val="standardContextual"/>
    </w:rPr>
  </w:style>
  <w:style w:type="paragraph" w:styleId="Ttulo6">
    <w:name w:val="heading 6"/>
    <w:basedOn w:val="Normal"/>
    <w:next w:val="Normal"/>
    <w:link w:val="Ttulo6Car"/>
    <w:uiPriority w:val="9"/>
    <w:semiHidden/>
    <w:unhideWhenUsed/>
    <w:qFormat/>
    <w:rsid w:val="005A745D"/>
    <w:pPr>
      <w:keepNext/>
      <w:keepLines/>
      <w:spacing w:before="40" w:line="278" w:lineRule="auto"/>
      <w:outlineLvl w:val="5"/>
    </w:pPr>
    <w:rPr>
      <w:rFonts w:asciiTheme="minorHAnsi" w:eastAsiaTheme="majorEastAsia" w:hAnsiTheme="minorHAnsi" w:cstheme="majorBidi"/>
      <w:i/>
      <w:iCs/>
      <w:color w:val="595959" w:themeColor="text1" w:themeTint="A6"/>
      <w:kern w:val="2"/>
      <w:lang w:val="es-CO" w:eastAsia="en-US"/>
      <w14:ligatures w14:val="standardContextual"/>
    </w:rPr>
  </w:style>
  <w:style w:type="paragraph" w:styleId="Ttulo7">
    <w:name w:val="heading 7"/>
    <w:basedOn w:val="Normal"/>
    <w:next w:val="Normal"/>
    <w:link w:val="Ttulo7Car"/>
    <w:uiPriority w:val="9"/>
    <w:semiHidden/>
    <w:unhideWhenUsed/>
    <w:qFormat/>
    <w:rsid w:val="005A745D"/>
    <w:pPr>
      <w:keepNext/>
      <w:keepLines/>
      <w:spacing w:before="40" w:line="278" w:lineRule="auto"/>
      <w:outlineLvl w:val="6"/>
    </w:pPr>
    <w:rPr>
      <w:rFonts w:asciiTheme="minorHAnsi" w:eastAsiaTheme="majorEastAsia" w:hAnsiTheme="minorHAnsi" w:cstheme="majorBidi"/>
      <w:color w:val="595959" w:themeColor="text1" w:themeTint="A6"/>
      <w:kern w:val="2"/>
      <w:lang w:val="es-CO" w:eastAsia="en-US"/>
      <w14:ligatures w14:val="standardContextual"/>
    </w:rPr>
  </w:style>
  <w:style w:type="paragraph" w:styleId="Ttulo8">
    <w:name w:val="heading 8"/>
    <w:basedOn w:val="Normal"/>
    <w:next w:val="Normal"/>
    <w:link w:val="Ttulo8Car"/>
    <w:uiPriority w:val="9"/>
    <w:semiHidden/>
    <w:unhideWhenUsed/>
    <w:qFormat/>
    <w:rsid w:val="005A745D"/>
    <w:pPr>
      <w:keepNext/>
      <w:keepLines/>
      <w:spacing w:line="278" w:lineRule="auto"/>
      <w:outlineLvl w:val="7"/>
    </w:pPr>
    <w:rPr>
      <w:rFonts w:asciiTheme="minorHAnsi" w:eastAsiaTheme="majorEastAsia" w:hAnsiTheme="minorHAnsi" w:cstheme="majorBidi"/>
      <w:i/>
      <w:iCs/>
      <w:color w:val="272727" w:themeColor="text1" w:themeTint="D8"/>
      <w:kern w:val="2"/>
      <w:lang w:val="es-CO" w:eastAsia="en-US"/>
      <w14:ligatures w14:val="standardContextual"/>
    </w:rPr>
  </w:style>
  <w:style w:type="paragraph" w:styleId="Ttulo9">
    <w:name w:val="heading 9"/>
    <w:basedOn w:val="Normal"/>
    <w:next w:val="Normal"/>
    <w:link w:val="Ttulo9Car"/>
    <w:uiPriority w:val="9"/>
    <w:semiHidden/>
    <w:unhideWhenUsed/>
    <w:qFormat/>
    <w:rsid w:val="005A745D"/>
    <w:pPr>
      <w:keepNext/>
      <w:keepLines/>
      <w:spacing w:line="278" w:lineRule="auto"/>
      <w:outlineLvl w:val="8"/>
    </w:pPr>
    <w:rPr>
      <w:rFonts w:asciiTheme="minorHAnsi" w:eastAsiaTheme="majorEastAsia" w:hAnsiTheme="minorHAnsi" w:cstheme="majorBidi"/>
      <w:color w:val="272727" w:themeColor="text1" w:themeTint="D8"/>
      <w:kern w:val="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Mencinsinresolver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spacing w:after="160" w:line="259" w:lineRule="auto"/>
      <w:ind w:left="720"/>
      <w:contextualSpacing/>
    </w:pPr>
    <w:rPr>
      <w:rFonts w:asciiTheme="minorHAnsi" w:eastAsiaTheme="minorHAnsi" w:hAnsiTheme="minorHAnsi" w:cstheme="minorBidi"/>
      <w:kern w:val="2"/>
      <w:sz w:val="22"/>
      <w:szCs w:val="22"/>
      <w:lang w:val="es-CO" w:eastAsia="en-US"/>
      <w14:ligatures w14:val="standardContextual"/>
    </w:rPr>
  </w:style>
  <w:style w:type="table" w:styleId="Tablaconcuadrcula">
    <w:name w:val="Table Grid"/>
    <w:basedOn w:val="Tablanormal"/>
    <w:uiPriority w:val="39"/>
    <w:rsid w:val="008F0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rsid w:val="00F8640E"/>
    <w:pPr>
      <w:jc w:val="both"/>
    </w:pPr>
    <w:rPr>
      <w:rFonts w:ascii="Arial" w:eastAsia="Times New Roman" w:hAnsi="Arial"/>
      <w:b/>
      <w:sz w:val="22"/>
      <w:szCs w:val="20"/>
    </w:rPr>
  </w:style>
  <w:style w:type="character" w:customStyle="1" w:styleId="Textoindependiente3Car">
    <w:name w:val="Texto independiente 3 Car"/>
    <w:basedOn w:val="Fuentedeprrafopredeter"/>
    <w:link w:val="Textoindependiente3"/>
    <w:rsid w:val="00F8640E"/>
    <w:rPr>
      <w:rFonts w:ascii="Arial" w:eastAsia="Times New Roman" w:hAnsi="Arial" w:cs="Times New Roman"/>
      <w:b/>
      <w:kern w:val="0"/>
      <w:szCs w:val="20"/>
      <w:lang w:val="es-ES" w:eastAsia="es-ES"/>
      <w14:ligatures w14:val="none"/>
    </w:rPr>
  </w:style>
  <w:style w:type="character" w:customStyle="1" w:styleId="Ttulo1Car">
    <w:name w:val="Título 1 Car"/>
    <w:basedOn w:val="Fuentedeprrafopredeter"/>
    <w:link w:val="Ttulo1"/>
    <w:uiPriority w:val="9"/>
    <w:rsid w:val="00CD525A"/>
    <w:rPr>
      <w:rFonts w:asciiTheme="majorHAnsi" w:eastAsiaTheme="majorEastAsia" w:hAnsiTheme="majorHAnsi" w:cstheme="majorBidi"/>
      <w:color w:val="2F5496" w:themeColor="accent1" w:themeShade="BF"/>
      <w:sz w:val="40"/>
      <w:szCs w:val="40"/>
    </w:rPr>
  </w:style>
  <w:style w:type="paragraph" w:styleId="Textonotapie">
    <w:name w:val="footnote text"/>
    <w:basedOn w:val="Normal"/>
    <w:link w:val="TextonotapieCar"/>
    <w:uiPriority w:val="99"/>
    <w:unhideWhenUsed/>
    <w:rsid w:val="00CD525A"/>
    <w:rPr>
      <w:rFonts w:ascii="Calibri" w:eastAsia="Calibri" w:hAnsi="Calibri"/>
      <w:sz w:val="20"/>
      <w:szCs w:val="20"/>
      <w:lang w:eastAsia="en-US"/>
    </w:rPr>
  </w:style>
  <w:style w:type="character" w:customStyle="1" w:styleId="TextonotapieCar">
    <w:name w:val="Texto nota pie Car"/>
    <w:basedOn w:val="Fuentedeprrafopredeter"/>
    <w:link w:val="Textonotapie"/>
    <w:uiPriority w:val="99"/>
    <w:rsid w:val="00CD525A"/>
    <w:rPr>
      <w:rFonts w:ascii="Calibri" w:eastAsia="Calibri" w:hAnsi="Calibri" w:cs="Times New Roman"/>
      <w:kern w:val="0"/>
      <w:sz w:val="20"/>
      <w:szCs w:val="20"/>
      <w:lang w:val="es-ES"/>
      <w14:ligatures w14:val="none"/>
    </w:rPr>
  </w:style>
  <w:style w:type="character" w:styleId="Refdenotaalpie">
    <w:name w:val="footnote reference"/>
    <w:uiPriority w:val="99"/>
    <w:unhideWhenUsed/>
    <w:rsid w:val="00CD525A"/>
    <w:rPr>
      <w:vertAlign w:val="superscript"/>
    </w:rPr>
  </w:style>
  <w:style w:type="paragraph" w:styleId="Descripcin">
    <w:name w:val="caption"/>
    <w:basedOn w:val="Normal"/>
    <w:next w:val="Normal"/>
    <w:uiPriority w:val="35"/>
    <w:unhideWhenUsed/>
    <w:qFormat/>
    <w:rsid w:val="00CD525A"/>
    <w:pPr>
      <w:spacing w:after="200"/>
    </w:pPr>
    <w:rPr>
      <w:rFonts w:eastAsia="Times New Roman"/>
      <w:i/>
      <w:iCs/>
      <w:color w:val="44546A" w:themeColor="text2"/>
      <w:sz w:val="18"/>
      <w:szCs w:val="18"/>
      <w:lang w:val="es-ES_tradnl"/>
    </w:rPr>
  </w:style>
  <w:style w:type="paragraph" w:styleId="Bibliografa">
    <w:name w:val="Bibliography"/>
    <w:basedOn w:val="Normal"/>
    <w:next w:val="Normal"/>
    <w:uiPriority w:val="37"/>
    <w:unhideWhenUsed/>
    <w:rsid w:val="00CD525A"/>
    <w:rPr>
      <w:rFonts w:eastAsia="Times New Roman"/>
      <w:sz w:val="20"/>
      <w:szCs w:val="20"/>
      <w:lang w:val="es-ES_tradnl"/>
    </w:rPr>
  </w:style>
  <w:style w:type="character" w:customStyle="1" w:styleId="Ttulo2Car">
    <w:name w:val="Título 2 Car"/>
    <w:basedOn w:val="Fuentedeprrafopredeter"/>
    <w:link w:val="Ttulo2"/>
    <w:uiPriority w:val="9"/>
    <w:semiHidden/>
    <w:rsid w:val="005A745D"/>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5A745D"/>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5A745D"/>
    <w:rPr>
      <w:rFonts w:eastAsiaTheme="majorEastAsia" w:cstheme="majorBidi"/>
      <w:i/>
      <w:iCs/>
      <w:color w:val="2F5496" w:themeColor="accent1" w:themeShade="BF"/>
      <w:sz w:val="24"/>
      <w:szCs w:val="24"/>
    </w:rPr>
  </w:style>
  <w:style w:type="character" w:customStyle="1" w:styleId="Ttulo5Car">
    <w:name w:val="Título 5 Car"/>
    <w:basedOn w:val="Fuentedeprrafopredeter"/>
    <w:link w:val="Ttulo5"/>
    <w:uiPriority w:val="9"/>
    <w:semiHidden/>
    <w:rsid w:val="005A745D"/>
    <w:rPr>
      <w:rFonts w:eastAsiaTheme="majorEastAsia" w:cstheme="majorBidi"/>
      <w:color w:val="2F5496" w:themeColor="accent1" w:themeShade="BF"/>
      <w:sz w:val="24"/>
      <w:szCs w:val="24"/>
    </w:rPr>
  </w:style>
  <w:style w:type="character" w:customStyle="1" w:styleId="Ttulo6Car">
    <w:name w:val="Título 6 Car"/>
    <w:basedOn w:val="Fuentedeprrafopredeter"/>
    <w:link w:val="Ttulo6"/>
    <w:uiPriority w:val="9"/>
    <w:semiHidden/>
    <w:rsid w:val="005A745D"/>
    <w:rPr>
      <w:rFonts w:eastAsiaTheme="majorEastAsia" w:cstheme="majorBidi"/>
      <w:i/>
      <w:iCs/>
      <w:color w:val="595959" w:themeColor="text1" w:themeTint="A6"/>
      <w:sz w:val="24"/>
      <w:szCs w:val="24"/>
    </w:rPr>
  </w:style>
  <w:style w:type="character" w:customStyle="1" w:styleId="Ttulo7Car">
    <w:name w:val="Título 7 Car"/>
    <w:basedOn w:val="Fuentedeprrafopredeter"/>
    <w:link w:val="Ttulo7"/>
    <w:uiPriority w:val="9"/>
    <w:semiHidden/>
    <w:rsid w:val="005A745D"/>
    <w:rPr>
      <w:rFonts w:eastAsiaTheme="majorEastAsia" w:cstheme="majorBidi"/>
      <w:color w:val="595959" w:themeColor="text1" w:themeTint="A6"/>
      <w:sz w:val="24"/>
      <w:szCs w:val="24"/>
    </w:rPr>
  </w:style>
  <w:style w:type="character" w:customStyle="1" w:styleId="Ttulo8Car">
    <w:name w:val="Título 8 Car"/>
    <w:basedOn w:val="Fuentedeprrafopredeter"/>
    <w:link w:val="Ttulo8"/>
    <w:uiPriority w:val="9"/>
    <w:semiHidden/>
    <w:rsid w:val="005A745D"/>
    <w:rPr>
      <w:rFonts w:eastAsiaTheme="majorEastAsia" w:cstheme="majorBidi"/>
      <w:i/>
      <w:iCs/>
      <w:color w:val="272727" w:themeColor="text1" w:themeTint="D8"/>
      <w:sz w:val="24"/>
      <w:szCs w:val="24"/>
    </w:rPr>
  </w:style>
  <w:style w:type="character" w:customStyle="1" w:styleId="Ttulo9Car">
    <w:name w:val="Título 9 Car"/>
    <w:basedOn w:val="Fuentedeprrafopredeter"/>
    <w:link w:val="Ttulo9"/>
    <w:uiPriority w:val="9"/>
    <w:semiHidden/>
    <w:rsid w:val="005A745D"/>
    <w:rPr>
      <w:rFonts w:eastAsiaTheme="majorEastAsia" w:cstheme="majorBidi"/>
      <w:color w:val="272727" w:themeColor="text1" w:themeTint="D8"/>
      <w:sz w:val="24"/>
      <w:szCs w:val="24"/>
    </w:rPr>
  </w:style>
  <w:style w:type="paragraph" w:styleId="Ttulo">
    <w:name w:val="Title"/>
    <w:basedOn w:val="Normal"/>
    <w:next w:val="Normal"/>
    <w:link w:val="TtuloCar"/>
    <w:uiPriority w:val="10"/>
    <w:qFormat/>
    <w:rsid w:val="005A745D"/>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5A745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A745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5A745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A745D"/>
    <w:pPr>
      <w:spacing w:before="160" w:after="160" w:line="278" w:lineRule="auto"/>
      <w:jc w:val="center"/>
    </w:pPr>
    <w:rPr>
      <w:rFonts w:asciiTheme="minorHAnsi" w:eastAsiaTheme="minorHAnsi" w:hAnsiTheme="minorHAnsi" w:cstheme="minorBidi"/>
      <w:i/>
      <w:iCs/>
      <w:color w:val="404040" w:themeColor="text1" w:themeTint="BF"/>
      <w:kern w:val="2"/>
      <w:lang w:val="es-CO" w:eastAsia="en-US"/>
      <w14:ligatures w14:val="standardContextual"/>
    </w:rPr>
  </w:style>
  <w:style w:type="character" w:customStyle="1" w:styleId="CitaCar">
    <w:name w:val="Cita Car"/>
    <w:basedOn w:val="Fuentedeprrafopredeter"/>
    <w:link w:val="Cita"/>
    <w:uiPriority w:val="29"/>
    <w:rsid w:val="005A745D"/>
    <w:rPr>
      <w:i/>
      <w:iCs/>
      <w:color w:val="404040" w:themeColor="text1" w:themeTint="BF"/>
      <w:sz w:val="24"/>
      <w:szCs w:val="24"/>
    </w:rPr>
  </w:style>
  <w:style w:type="character" w:styleId="nfasisintenso">
    <w:name w:val="Intense Emphasis"/>
    <w:basedOn w:val="Fuentedeprrafopredeter"/>
    <w:uiPriority w:val="21"/>
    <w:qFormat/>
    <w:rsid w:val="005A745D"/>
    <w:rPr>
      <w:i/>
      <w:iCs/>
      <w:color w:val="2F5496" w:themeColor="accent1" w:themeShade="BF"/>
    </w:rPr>
  </w:style>
  <w:style w:type="paragraph" w:styleId="Citadestacada">
    <w:name w:val="Intense Quote"/>
    <w:basedOn w:val="Normal"/>
    <w:next w:val="Normal"/>
    <w:link w:val="CitadestacadaCar"/>
    <w:uiPriority w:val="30"/>
    <w:qFormat/>
    <w:rsid w:val="005A745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val="es-CO" w:eastAsia="en-US"/>
      <w14:ligatures w14:val="standardContextual"/>
    </w:rPr>
  </w:style>
  <w:style w:type="character" w:customStyle="1" w:styleId="CitadestacadaCar">
    <w:name w:val="Cita destacada Car"/>
    <w:basedOn w:val="Fuentedeprrafopredeter"/>
    <w:link w:val="Citadestacada"/>
    <w:uiPriority w:val="30"/>
    <w:rsid w:val="005A745D"/>
    <w:rPr>
      <w:i/>
      <w:iCs/>
      <w:color w:val="2F5496" w:themeColor="accent1" w:themeShade="BF"/>
      <w:sz w:val="24"/>
      <w:szCs w:val="24"/>
    </w:rPr>
  </w:style>
  <w:style w:type="character" w:styleId="Referenciaintensa">
    <w:name w:val="Intense Reference"/>
    <w:basedOn w:val="Fuentedeprrafopredeter"/>
    <w:uiPriority w:val="32"/>
    <w:qFormat/>
    <w:rsid w:val="005A745D"/>
    <w:rPr>
      <w:b/>
      <w:bCs/>
      <w:smallCaps/>
      <w:color w:val="2F5496" w:themeColor="accent1" w:themeShade="BF"/>
      <w:spacing w:val="5"/>
    </w:rPr>
  </w:style>
  <w:style w:type="character" w:customStyle="1" w:styleId="ui-provider">
    <w:name w:val="ui-provider"/>
    <w:basedOn w:val="Fuentedeprrafopredeter"/>
    <w:rsid w:val="005A745D"/>
  </w:style>
  <w:style w:type="table" w:styleId="Tablaconcuadrcula1clara-nfasis4">
    <w:name w:val="Grid Table 1 Light Accent 4"/>
    <w:basedOn w:val="Tablanormal"/>
    <w:uiPriority w:val="46"/>
    <w:rsid w:val="005A745D"/>
    <w:pPr>
      <w:spacing w:after="0" w:line="240" w:lineRule="auto"/>
    </w:pPr>
    <w:rPr>
      <w:sz w:val="24"/>
      <w:szCs w:val="24"/>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styleId="Textodelmarcadordeposicin">
    <w:name w:val="Placeholder Text"/>
    <w:basedOn w:val="Fuentedeprrafopredeter"/>
    <w:uiPriority w:val="99"/>
    <w:semiHidden/>
    <w:rsid w:val="005A745D"/>
    <w:rPr>
      <w:color w:val="666666"/>
    </w:rPr>
  </w:style>
  <w:style w:type="table" w:styleId="Tablaconcuadrcula1clara">
    <w:name w:val="Grid Table 1 Light"/>
    <w:basedOn w:val="Tablanormal"/>
    <w:uiPriority w:val="46"/>
    <w:rsid w:val="005A745D"/>
    <w:pPr>
      <w:spacing w:after="0" w:line="240" w:lineRule="auto"/>
    </w:pPr>
    <w:rPr>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n">
    <w:name w:val="Revision"/>
    <w:hidden/>
    <w:uiPriority w:val="99"/>
    <w:semiHidden/>
    <w:rsid w:val="005A745D"/>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styleId="Refdecomentario">
    <w:name w:val="annotation reference"/>
    <w:basedOn w:val="Fuentedeprrafopredeter"/>
    <w:uiPriority w:val="99"/>
    <w:semiHidden/>
    <w:unhideWhenUsed/>
    <w:rsid w:val="005A745D"/>
    <w:rPr>
      <w:sz w:val="16"/>
      <w:szCs w:val="16"/>
    </w:rPr>
  </w:style>
  <w:style w:type="paragraph" w:styleId="Textocomentario">
    <w:name w:val="annotation text"/>
    <w:basedOn w:val="Normal"/>
    <w:link w:val="TextocomentarioCar"/>
    <w:uiPriority w:val="99"/>
    <w:unhideWhenUsed/>
    <w:rsid w:val="005A745D"/>
    <w:rPr>
      <w:rFonts w:eastAsia="Times New Roman"/>
      <w:sz w:val="20"/>
      <w:szCs w:val="20"/>
      <w:lang w:val="es-ES_tradnl"/>
    </w:rPr>
  </w:style>
  <w:style w:type="character" w:customStyle="1" w:styleId="TextocomentarioCar">
    <w:name w:val="Texto comentario Car"/>
    <w:basedOn w:val="Fuentedeprrafopredeter"/>
    <w:link w:val="Textocomentario"/>
    <w:uiPriority w:val="99"/>
    <w:rsid w:val="005A745D"/>
    <w:rPr>
      <w:rFonts w:ascii="Times New Roman" w:eastAsia="Times New Roman" w:hAnsi="Times New Roman" w:cs="Times New Roman"/>
      <w:kern w:val="0"/>
      <w:sz w:val="20"/>
      <w:szCs w:val="20"/>
      <w:lang w:val="es-ES_tradnl" w:eastAsia="es-ES"/>
      <w14:ligatures w14:val="none"/>
    </w:rPr>
  </w:style>
  <w:style w:type="paragraph" w:styleId="Asuntodelcomentario">
    <w:name w:val="annotation subject"/>
    <w:basedOn w:val="Textocomentario"/>
    <w:next w:val="Textocomentario"/>
    <w:link w:val="AsuntodelcomentarioCar"/>
    <w:uiPriority w:val="99"/>
    <w:semiHidden/>
    <w:unhideWhenUsed/>
    <w:rsid w:val="005A745D"/>
    <w:rPr>
      <w:b/>
      <w:bCs/>
    </w:rPr>
  </w:style>
  <w:style w:type="character" w:customStyle="1" w:styleId="AsuntodelcomentarioCar">
    <w:name w:val="Asunto del comentario Car"/>
    <w:basedOn w:val="TextocomentarioCar"/>
    <w:link w:val="Asuntodelcomentario"/>
    <w:uiPriority w:val="99"/>
    <w:semiHidden/>
    <w:rsid w:val="005A745D"/>
    <w:rPr>
      <w:rFonts w:ascii="Times New Roman" w:eastAsia="Times New Roman" w:hAnsi="Times New Roman" w:cs="Times New Roman"/>
      <w:b/>
      <w:bCs/>
      <w:kern w:val="0"/>
      <w:sz w:val="20"/>
      <w:szCs w:val="20"/>
      <w:lang w:val="es-ES_tradnl" w:eastAsia="es-ES"/>
      <w14:ligatures w14:val="none"/>
    </w:rPr>
  </w:style>
  <w:style w:type="character" w:customStyle="1" w:styleId="Mencionar1">
    <w:name w:val="Mencionar1"/>
    <w:basedOn w:val="Fuentedeprrafopredeter"/>
    <w:uiPriority w:val="99"/>
    <w:unhideWhenUsed/>
    <w:rsid w:val="005A745D"/>
    <w:rPr>
      <w:color w:val="2B579A"/>
      <w:shd w:val="clear" w:color="auto" w:fill="E1DFDD"/>
    </w:rPr>
  </w:style>
  <w:style w:type="paragraph" w:styleId="Textodeglobo">
    <w:name w:val="Balloon Text"/>
    <w:basedOn w:val="Normal"/>
    <w:link w:val="TextodegloboCar"/>
    <w:uiPriority w:val="99"/>
    <w:semiHidden/>
    <w:unhideWhenUsed/>
    <w:rsid w:val="005A745D"/>
    <w:rPr>
      <w:rFonts w:ascii="Segoe UI" w:eastAsia="Times New Roman" w:hAnsi="Segoe UI" w:cs="Segoe UI"/>
      <w:sz w:val="18"/>
      <w:szCs w:val="18"/>
      <w:lang w:val="es-ES_tradnl"/>
    </w:rPr>
  </w:style>
  <w:style w:type="character" w:customStyle="1" w:styleId="TextodegloboCar">
    <w:name w:val="Texto de globo Car"/>
    <w:basedOn w:val="Fuentedeprrafopredeter"/>
    <w:link w:val="Textodeglobo"/>
    <w:uiPriority w:val="99"/>
    <w:semiHidden/>
    <w:rsid w:val="005A745D"/>
    <w:rPr>
      <w:rFonts w:ascii="Segoe UI" w:eastAsia="Times New Roman" w:hAnsi="Segoe UI" w:cs="Segoe UI"/>
      <w:kern w:val="0"/>
      <w:sz w:val="18"/>
      <w:szCs w:val="18"/>
      <w:lang w:val="es-ES_tradnl" w:eastAsia="es-ES"/>
      <w14:ligatures w14:val="none"/>
    </w:rPr>
  </w:style>
  <w:style w:type="character" w:customStyle="1" w:styleId="Mencionar2">
    <w:name w:val="Mencionar2"/>
    <w:basedOn w:val="Fuentedeprrafopredeter"/>
    <w:uiPriority w:val="99"/>
    <w:unhideWhenUsed/>
    <w:rsid w:val="005A745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786004">
      <w:bodyDiv w:val="1"/>
      <w:marLeft w:val="0"/>
      <w:marRight w:val="0"/>
      <w:marTop w:val="0"/>
      <w:marBottom w:val="0"/>
      <w:divBdr>
        <w:top w:val="none" w:sz="0" w:space="0" w:color="auto"/>
        <w:left w:val="none" w:sz="0" w:space="0" w:color="auto"/>
        <w:bottom w:val="none" w:sz="0" w:space="0" w:color="auto"/>
        <w:right w:val="none" w:sz="0" w:space="0" w:color="auto"/>
      </w:divBdr>
    </w:div>
    <w:div w:id="178657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Jua08</b:Tag>
    <b:SourceType>JournalArticle</b:SourceType>
    <b:Guid>{3BCD0F56-22FF-4DB2-80E8-371A9FFC4793}</b:Guid>
    <b:Author>
      <b:Author>
        <b:NameList>
          <b:Person>
            <b:Last>Santana</b:Last>
            <b:First>Juan</b:First>
            <b:Middle>Camilo</b:Middle>
          </b:Person>
        </b:NameList>
      </b:Author>
    </b:Author>
    <b:Title>La curva de rendimientos: Una revisión metodológica y  nuevas aproximaciones de estimación</b:Title>
    <b:JournalName>Cuadernos de economía</b:JournalName>
    <b:Year>2008</b:Year>
    <b:RefOrder>1</b:RefOrder>
  </b:Source>
  <b:Source>
    <b:Tag>EIO23</b:Tag>
    <b:SourceType>DocumentFromInternetSite</b:SourceType>
    <b:Guid>{FE8ADBC4-1817-4294-9A59-1504D33C9E63}</b:Guid>
    <b:Title>RFR Technical documentation The methodology to derive EIOPA’s risk-free interest rate term structures</b:Title>
    <b:Year>2023</b:Year>
    <b:Author>
      <b:Author>
        <b:NameList>
          <b:Person>
            <b:Last>EIOPA</b:Last>
          </b:Person>
        </b:NameList>
      </b:Author>
    </b:Author>
    <b:InternetSiteTitle>EIOPA</b:InternetSiteTitle>
    <b:Month>Diciembre</b:Month>
    <b:URL>chrome-extension://efaidnbmnnnibpcajpcglclefindmkaj/https://www.eiopa.europa.eu/system/files/2023-10/EIOPA-BoS-2023-359%20-RFR%20Technical%20Documentation.pdf</b:URL>
    <b:RefOrder>2</b:RefOrder>
  </b:Source>
  <b:Source>
    <b:Tag>Fun09</b:Tag>
    <b:SourceType>InternetSite</b:SourceType>
    <b:Guid>{E8B24FD7-F6F2-4336-ABE1-CF4715AF0315}</b:Guid>
    <b:Title>Función Pública</b:Title>
    <b:Year>2009</b:Year>
    <b:InternetSiteTitle>Gestor Normativo</b:InternetSiteTitle>
    <b:URL>https://www.funcionpublica.gov.co/eva/gestornormativo/norma.php?i=36838</b:URL>
    <b:RefOrder>3</b:RefOrder>
  </b:Source>
  <b:Source>
    <b:Tag>Fun24</b:Tag>
    <b:SourceType>InternetSite</b:SourceType>
    <b:Guid>{D4FF49B9-6D88-43DC-9A6F-76E8EB262F82}</b:Guid>
    <b:Title>Función Pública</b:Title>
    <b:InternetSiteTitle>Gestor normativo</b:InternetSiteTitle>
    <b:Year>2024</b:Year>
    <b:URL>https://www.funcionpublica.gov.co/eva/gestornormativo/norma.php?i=253296</b:URL>
    <b:RefOrder>4</b:RefOrder>
  </b:Source>
  <b:Source>
    <b:Tag>EIO21</b:Tag>
    <b:SourceType>Report</b:SourceType>
    <b:Guid>{AC1055A3-2B8C-4F11-A0AF-7CAA31DAF4DB}</b:Guid>
    <b:Author>
      <b:Author>
        <b:NameList>
          <b:Person>
            <b:Last>EIOPA</b:Last>
          </b:Person>
        </b:NameList>
      </b:Author>
    </b:Author>
    <b:Title>Technical documentation of the methodology to derive EIOPA’s risk-free interest rate term structures</b:Title>
    <b:Year>2021</b:Year>
    <b:RefOrder>5</b:RefOrder>
  </b:Source>
  <b:Source>
    <b:Tag>BOE09</b:Tag>
    <b:SourceType>JournalArticle</b:SourceType>
    <b:Guid>{B85FF4BC-E5F4-4A28-8992-B168A66BB2CC}</b:Guid>
    <b:Title>Directiva 2009/138/CE del Parlamento Europeo y del Consejo</b:Title>
    <b:Year>2009</b:Year>
    <b:Author>
      <b:Author>
        <b:Corporate>Bank of Europe</b:Corporate>
      </b:Author>
    </b:Author>
    <b:JournalName>Diario Oficial de la Unión Europea</b:JournalName>
    <b:Pages>155</b:Pages>
    <b:RefOrder>6</b:RefOrder>
  </b:Source>
  <b:Source>
    <b:Tag>Kem19</b:Tag>
    <b:SourceType>JournalArticle</b:SourceType>
    <b:Guid>{E44FB087-05D9-4469-827F-4A7717578DB5}</b:Guid>
    <b:Title>Yield Curve Extrapolation Methods Methodologies for Valuing Cash Flows That Extend Beyond the Maximum Yield Curve</b:Title>
    <b:Year>2019</b:Year>
    <b:Author>
      <b:Author>
        <b:NameList>
          <b:Person>
            <b:Last> Akinyemi</b:Last>
            <b:First>Kemi</b:First>
          </b:Person>
          <b:Person>
            <b:Last>Kerbeshian</b:Last>
            <b:First>Jack </b:First>
          </b:Person>
          <b:Person>
            <b:Last>Leiser</b:Last>
            <b:First>Benjamin </b:First>
          </b:Person>
          <b:Person>
            <b:Last>Matson</b:Last>
            <b:First>Patricia</b:First>
          </b:Person>
        </b:NameList>
      </b:Author>
    </b:Author>
    <b:JournalName>Society of Actuaries Committee on Finance Research</b:JournalName>
    <b:Pages>35</b:Pages>
    <b:RefOrder>7</b:RefOrder>
  </b:Source>
  <b:Source>
    <b:Tag>Gon21</b:Tag>
    <b:SourceType>JournalArticle</b:SourceType>
    <b:Guid>{C1A9F6E0-851B-4AC7-8C74-313D00E0ABB7}</b:Guid>
    <b:Title>Comparative analysis of interest rate term structures in the Solvency II environment</b:Title>
    <b:JournalName>The Journal of Risk Finance</b:JournalName>
    <b:Year>2021</b:Year>
    <b:Pages>18</b:Pages>
    <b:Author>
      <b:Author>
        <b:NameList>
          <b:Person>
            <b:Last>Gonzalez Sanchez</b:Last>
            <b:First>Mariano</b:First>
          </b:Person>
          <b:Person>
            <b:Last>Rodriguez-Sanchez</b:Last>
            <b:First>Sonia</b:First>
          </b:Person>
        </b:NameList>
      </b:Author>
    </b:Author>
    <b:RefOrder>8</b:RefOrder>
  </b:Source>
  <b:Source>
    <b:Tag>EIO24</b:Tag>
    <b:SourceType>DocumentFromInternetSite</b:SourceType>
    <b:Guid>{0F146B4C-5BFC-4E8A-9586-EEBFF843E3E8}</b:Guid>
    <b:Author>
      <b:Author>
        <b:NameList>
          <b:Person>
            <b:Last>EIOPA</b:Last>
          </b:Person>
        </b:NameList>
      </b:Author>
    </b:Author>
    <b:Title>Report on the calculation of the UFR for 2025</b:Title>
    <b:InternetSiteTitle>EIOPA</b:InternetSiteTitle>
    <b:Year>2024</b:Year>
    <b:Month>Marzo</b:Month>
    <b:Day>26</b:Day>
    <b:URL>chrome-extension://efaidnbmnnnibpcajpcglclefindmkaj/https://www.eiopa.europa.eu/document/download/0ab82697-40a6-49ad-930f-211b649c1be9_en?filename=EIOPA-BoS-24-099-Report-on-the-Calculation-of-the-UFR-for-2025.pdf</b:URL>
    <b:RefOrder>9</b:RefOrder>
  </b:Source>
  <b:Source>
    <b:Tag>Ban24</b:Tag>
    <b:SourceType>Report</b:SourceType>
    <b:Guid>{B1B712E5-C47A-4884-A395-8B338CA0F073}</b:Guid>
    <b:Author>
      <b:Author>
        <b:Corporate>Banco de la República</b:Corporate>
      </b:Author>
    </b:Author>
    <b:Title>Informe de política monetaria</b:Title>
    <b:Year>2024</b:Year>
    <b:Publisher>Banco de la República</b:Publisher>
    <b:City>Bogotá, D.C.</b:City>
    <b:RefOrder>10</b:RefOrder>
  </b:Source>
  <b:Source>
    <b:Tag>And18</b:Tag>
    <b:SourceType>JournalArticle</b:SourceType>
    <b:Guid>{8857A96F-7E0C-4A36-81ED-17328F3FC68D}</b:Guid>
    <b:Title>Nuevas estimaciones de la tasa de interés neutral en Colombia</b:Title>
    <b:Year>2018</b:Year>
    <b:Author>
      <b:Author>
        <b:NameList>
          <b:Person>
            <b:Last>Grajales-Olarte</b:Last>
            <b:First>Anderson</b:First>
          </b:Person>
          <b:Person>
            <b:Last>Pulido</b:Last>
            <b:First>José</b:First>
            <b:Middle>David</b:Middle>
          </b:Person>
        </b:NameList>
      </b:Author>
    </b:Author>
    <b:JournalName>Informe sobre inflación</b:JournalName>
    <b:Pages>74-77</b:Pages>
    <b:RefOrder>11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DC23D5-0221-43A0-840C-D7FF0980B6F9}">
  <ds:schemaRefs>
    <ds:schemaRef ds:uri="http://schemas.microsoft.com/office/2006/metadata/properties"/>
    <ds:schemaRef ds:uri="http://schemas.microsoft.com/office/infopath/2007/PartnerControls"/>
    <ds:schemaRef ds:uri="c1f7d1b3-3fa0-4e24-9db4-a26085bdffe2"/>
    <ds:schemaRef ds:uri="0cc94e5e-fdc2-43dd-8819-d32bb5cdc256"/>
  </ds:schemaRefs>
</ds:datastoreItem>
</file>

<file path=customXml/itemProps2.xml><?xml version="1.0" encoding="utf-8"?>
<ds:datastoreItem xmlns:ds="http://schemas.openxmlformats.org/officeDocument/2006/customXml" ds:itemID="{BC9C0BEE-BBFB-4FD0-9330-4391C1441386}">
  <ds:schemaRefs>
    <ds:schemaRef ds:uri="http://schemas.openxmlformats.org/officeDocument/2006/bibliography"/>
  </ds:schemaRefs>
</ds:datastoreItem>
</file>

<file path=customXml/itemProps3.xml><?xml version="1.0" encoding="utf-8"?>
<ds:datastoreItem xmlns:ds="http://schemas.openxmlformats.org/officeDocument/2006/customXml" ds:itemID="{81778A2F-C83F-42AC-A1DD-94DDCD6AE6B8}">
  <ds:schemaRefs>
    <ds:schemaRef ds:uri="http://schemas.microsoft.com/sharepoint/v3/contenttype/forms"/>
  </ds:schemaRefs>
</ds:datastoreItem>
</file>

<file path=customXml/itemProps4.xml><?xml version="1.0" encoding="utf-8"?>
<ds:datastoreItem xmlns:ds="http://schemas.openxmlformats.org/officeDocument/2006/customXml" ds:itemID="{B77E7BEB-E729-4D0E-9187-FEB14157A5A0}"/>
</file>

<file path=docProps/app.xml><?xml version="1.0" encoding="utf-8"?>
<Properties xmlns="http://schemas.openxmlformats.org/officeDocument/2006/extended-properties" xmlns:vt="http://schemas.openxmlformats.org/officeDocument/2006/docPropsVTypes">
  <Template>Normal</Template>
  <TotalTime>82</TotalTime>
  <Pages>19</Pages>
  <Words>5405</Words>
  <Characters>29728</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Julian Orlando Medina Martinez</cp:lastModifiedBy>
  <cp:revision>37</cp:revision>
  <cp:lastPrinted>2023-05-07T17:22:00Z</cp:lastPrinted>
  <dcterms:created xsi:type="dcterms:W3CDTF">2025-05-02T14:33:00Z</dcterms:created>
  <dcterms:modified xsi:type="dcterms:W3CDTF">2025-06-18T20:04:00Z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ies>
</file>